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C2F2" w14:textId="61BA0FE5" w:rsidR="00E90E49" w:rsidRPr="00DD5F91" w:rsidRDefault="00E90E49" w:rsidP="00E35559">
      <w:pPr>
        <w:pStyle w:val="3GPPHeader"/>
        <w:spacing w:after="60"/>
        <w:rPr>
          <w:sz w:val="28"/>
          <w:szCs w:val="28"/>
        </w:rPr>
      </w:pPr>
      <w:r w:rsidRPr="00B873EF">
        <w:t xml:space="preserve">3GPP TSG-RAN </w:t>
      </w:r>
      <w:r w:rsidR="000A3377" w:rsidRPr="00B873EF">
        <w:t xml:space="preserve">Meeting </w:t>
      </w:r>
      <w:r w:rsidRPr="00B873EF">
        <w:t>#</w:t>
      </w:r>
      <w:r w:rsidR="0010155E">
        <w:t>90</w:t>
      </w:r>
      <w:r w:rsidR="000F5AA6">
        <w:t>-e</w:t>
      </w:r>
      <w:r w:rsidRPr="00B873EF">
        <w:tab/>
      </w:r>
      <w:r w:rsidR="00091557" w:rsidRPr="000926C4">
        <w:rPr>
          <w:szCs w:val="24"/>
        </w:rPr>
        <w:t>R</w:t>
      </w:r>
      <w:r w:rsidR="000A3377" w:rsidRPr="000926C4">
        <w:rPr>
          <w:szCs w:val="24"/>
        </w:rPr>
        <w:t>P</w:t>
      </w:r>
      <w:r w:rsidR="00091557" w:rsidRPr="000926C4">
        <w:rPr>
          <w:szCs w:val="24"/>
        </w:rPr>
        <w:t>-</w:t>
      </w:r>
      <w:r w:rsidR="000F5AA6" w:rsidRPr="000926C4">
        <w:rPr>
          <w:szCs w:val="24"/>
        </w:rPr>
        <w:t>20</w:t>
      </w:r>
      <w:r w:rsidR="000926C4" w:rsidRPr="000926C4">
        <w:rPr>
          <w:szCs w:val="24"/>
        </w:rPr>
        <w:t>2411</w:t>
      </w:r>
    </w:p>
    <w:p w14:paraId="70DD7582" w14:textId="6C3B39C7" w:rsidR="00E90E49" w:rsidRPr="00B873EF" w:rsidRDefault="000F5AA6" w:rsidP="00311702">
      <w:pPr>
        <w:pStyle w:val="3GPPHeader"/>
      </w:pPr>
      <w:r>
        <w:t>Online</w:t>
      </w:r>
      <w:r w:rsidR="000A3377" w:rsidRPr="00B873EF">
        <w:t xml:space="preserve">, </w:t>
      </w:r>
      <w:r w:rsidR="0010155E">
        <w:t>7</w:t>
      </w:r>
      <w:r w:rsidR="0010155E" w:rsidRPr="0010155E">
        <w:rPr>
          <w:vertAlign w:val="superscript"/>
        </w:rPr>
        <w:t>th</w:t>
      </w:r>
      <w:r w:rsidR="0010155E">
        <w:t xml:space="preserve"> – 12</w:t>
      </w:r>
      <w:r w:rsidR="0010155E" w:rsidRPr="0010155E">
        <w:rPr>
          <w:vertAlign w:val="superscript"/>
        </w:rPr>
        <w:t>th</w:t>
      </w:r>
      <w:r w:rsidR="0010155E">
        <w:t xml:space="preserve"> </w:t>
      </w:r>
      <w:proofErr w:type="gramStart"/>
      <w:r w:rsidR="0010155E">
        <w:t>December,</w:t>
      </w:r>
      <w:proofErr w:type="gramEnd"/>
      <w:r w:rsidR="0010155E">
        <w:t xml:space="preserve"> </w:t>
      </w:r>
      <w:r w:rsidR="00126758" w:rsidRPr="00B873EF">
        <w:t>20</w:t>
      </w:r>
      <w:r>
        <w:t>20</w:t>
      </w:r>
    </w:p>
    <w:p w14:paraId="7AF1F3E2" w14:textId="77777777" w:rsidR="00E90E49" w:rsidRPr="00B873EF" w:rsidRDefault="00E90E49" w:rsidP="00357380">
      <w:pPr>
        <w:pStyle w:val="3GPPHeader"/>
      </w:pPr>
    </w:p>
    <w:p w14:paraId="2F262874" w14:textId="5F8112C3" w:rsidR="00E90E49" w:rsidRPr="00D32E00" w:rsidRDefault="00E90E49" w:rsidP="00311702">
      <w:pPr>
        <w:pStyle w:val="3GPPHeader"/>
        <w:rPr>
          <w:sz w:val="22"/>
        </w:rPr>
      </w:pPr>
      <w:r w:rsidRPr="00D32E00">
        <w:rPr>
          <w:sz w:val="22"/>
        </w:rPr>
        <w:t>Agenda Item:</w:t>
      </w:r>
      <w:r w:rsidRPr="00D32E00">
        <w:rPr>
          <w:sz w:val="22"/>
        </w:rPr>
        <w:tab/>
      </w:r>
      <w:r w:rsidR="000926C4">
        <w:rPr>
          <w:sz w:val="22"/>
        </w:rPr>
        <w:t>9.1.1</w:t>
      </w:r>
    </w:p>
    <w:p w14:paraId="65EAADA6" w14:textId="1BAFCF70" w:rsidR="00E90E49" w:rsidRDefault="003D3C45" w:rsidP="00F64C2B">
      <w:pPr>
        <w:pStyle w:val="3GPPHeader"/>
        <w:rPr>
          <w:sz w:val="22"/>
        </w:rPr>
      </w:pPr>
      <w:r w:rsidRPr="00B873EF">
        <w:rPr>
          <w:sz w:val="22"/>
        </w:rPr>
        <w:t>Source:</w:t>
      </w:r>
      <w:r w:rsidR="00E90E49" w:rsidRPr="00B873EF">
        <w:rPr>
          <w:sz w:val="22"/>
        </w:rPr>
        <w:tab/>
      </w:r>
      <w:r w:rsidR="00F64C2B" w:rsidRPr="00B873EF">
        <w:rPr>
          <w:sz w:val="22"/>
        </w:rPr>
        <w:t>Ericsson</w:t>
      </w:r>
    </w:p>
    <w:p w14:paraId="7714AC64" w14:textId="74D190A9" w:rsidR="00E90E49" w:rsidRDefault="00AA6EE4" w:rsidP="00311702">
      <w:pPr>
        <w:pStyle w:val="3GPPHeader"/>
        <w:rPr>
          <w:sz w:val="22"/>
        </w:rPr>
      </w:pPr>
      <w:r>
        <w:rPr>
          <w:sz w:val="22"/>
        </w:rPr>
        <w:t>Title:</w:t>
      </w:r>
      <w:r>
        <w:rPr>
          <w:sz w:val="22"/>
        </w:rPr>
        <w:tab/>
      </w:r>
      <w:r w:rsidR="00620610">
        <w:rPr>
          <w:sz w:val="22"/>
        </w:rPr>
        <w:t>View</w:t>
      </w:r>
      <w:r w:rsidR="0038613F">
        <w:rPr>
          <w:sz w:val="22"/>
        </w:rPr>
        <w:t>s</w:t>
      </w:r>
      <w:r w:rsidR="00620610">
        <w:rPr>
          <w:sz w:val="22"/>
        </w:rPr>
        <w:t xml:space="preserve"> on WI</w:t>
      </w:r>
      <w:r w:rsidR="0010155E">
        <w:rPr>
          <w:sz w:val="22"/>
        </w:rPr>
        <w:t xml:space="preserve"> for extending NR to 71 GHz</w:t>
      </w:r>
    </w:p>
    <w:p w14:paraId="31EACB27" w14:textId="06CA1DB8" w:rsidR="00E90E49" w:rsidRPr="00DD5F91" w:rsidRDefault="00E90E49" w:rsidP="00DD5F91">
      <w:pPr>
        <w:pStyle w:val="3GPPHeader"/>
        <w:rPr>
          <w:sz w:val="22"/>
        </w:rPr>
      </w:pPr>
      <w:r w:rsidRPr="00B873EF">
        <w:rPr>
          <w:sz w:val="22"/>
        </w:rPr>
        <w:t>Document for:</w:t>
      </w:r>
      <w:r w:rsidRPr="00B873EF">
        <w:rPr>
          <w:sz w:val="22"/>
        </w:rPr>
        <w:tab/>
        <w:t>Discussion, Decision</w:t>
      </w:r>
    </w:p>
    <w:p w14:paraId="1780779A" w14:textId="77777777" w:rsidR="00E90E49" w:rsidRPr="00B873EF" w:rsidRDefault="00230D18" w:rsidP="00704935">
      <w:pPr>
        <w:pStyle w:val="Heading1"/>
        <w:numPr>
          <w:ilvl w:val="0"/>
          <w:numId w:val="0"/>
        </w:numPr>
        <w:ind w:left="360" w:hanging="360"/>
      </w:pPr>
      <w:r w:rsidRPr="00B873EF">
        <w:t>1</w:t>
      </w:r>
      <w:r w:rsidRPr="00B873EF">
        <w:tab/>
      </w:r>
      <w:r w:rsidR="00E90E49" w:rsidRPr="00B873EF">
        <w:t>Introduction</w:t>
      </w:r>
    </w:p>
    <w:p w14:paraId="5A2752CD" w14:textId="3F46FF3E" w:rsidR="00A701C0" w:rsidRPr="000F2A0F" w:rsidRDefault="00333CEE" w:rsidP="000F2A0F">
      <w:pPr>
        <w:pStyle w:val="BodyText"/>
      </w:pPr>
      <w:r w:rsidRPr="000F2A0F">
        <w:t xml:space="preserve">In RAN1#103, an update to TR 38.808 was endorsed </w:t>
      </w:r>
      <w:r w:rsidRPr="000F2A0F">
        <w:fldChar w:fldCharType="begin"/>
      </w:r>
      <w:r w:rsidRPr="000F2A0F">
        <w:instrText xml:space="preserve"> REF _Ref56771483 \r \h </w:instrText>
      </w:r>
      <w:r w:rsidR="00E623F5" w:rsidRPr="000F2A0F">
        <w:instrText xml:space="preserve"> \* MERGEFORMAT </w:instrText>
      </w:r>
      <w:r w:rsidRPr="000F2A0F">
        <w:fldChar w:fldCharType="separate"/>
      </w:r>
      <w:r w:rsidR="00744A81">
        <w:t>[1]</w:t>
      </w:r>
      <w:r w:rsidRPr="000F2A0F">
        <w:fldChar w:fldCharType="end"/>
      </w:r>
      <w:r w:rsidRPr="000F2A0F">
        <w:t xml:space="preserve"> for the SI on support of NR in the 52.6 – 71 GHz band.</w:t>
      </w:r>
      <w:r w:rsidR="00A701C0" w:rsidRPr="000F2A0F">
        <w:t xml:space="preserve"> One of the objectives of the SI was to study applicable numerologies for the band, and the TR captures evaluation results and observations for various subcarrier spacings between 120 and 960 kHz, NCP/ECP, and various bandwidths. During the SI it was agreed to support at least 120 kHz + NCP; however, support of other numerologies </w:t>
      </w:r>
      <w:r w:rsidR="00B459CB" w:rsidRPr="000F2A0F">
        <w:t>amongst {240, 480, 960 kHz} is still open</w:t>
      </w:r>
      <w:r w:rsidR="00A701C0" w:rsidRPr="000F2A0F">
        <w:t xml:space="preserve">. The TR also contains quite </w:t>
      </w:r>
      <w:proofErr w:type="gramStart"/>
      <w:r w:rsidR="00A701C0" w:rsidRPr="000F2A0F">
        <w:t>a large number of</w:t>
      </w:r>
      <w:proofErr w:type="gramEnd"/>
      <w:r w:rsidR="00A701C0" w:rsidRPr="000F2A0F">
        <w:t xml:space="preserve"> recommendations on what should be further studied during the WI in order to support </w:t>
      </w:r>
      <w:r w:rsidR="002F2DCE" w:rsidRPr="000F2A0F">
        <w:t xml:space="preserve">the </w:t>
      </w:r>
      <w:r w:rsidR="00A701C0" w:rsidRPr="000F2A0F">
        <w:t>additional numerologies.</w:t>
      </w:r>
    </w:p>
    <w:p w14:paraId="227D4B5C" w14:textId="1041C9AE" w:rsidR="00DD5F91" w:rsidRPr="000F2A0F" w:rsidRDefault="00E642CE" w:rsidP="000F2A0F">
      <w:pPr>
        <w:pStyle w:val="BodyText"/>
      </w:pPr>
      <w:r w:rsidRPr="000F2A0F">
        <w:t xml:space="preserve">In this contribution we </w:t>
      </w:r>
      <w:r w:rsidR="00A701C0" w:rsidRPr="000F2A0F">
        <w:t>discuss</w:t>
      </w:r>
      <w:r w:rsidRPr="000F2A0F">
        <w:t xml:space="preserve"> our view </w:t>
      </w:r>
      <w:r w:rsidR="00A701C0" w:rsidRPr="000F2A0F">
        <w:t>on the selection of numerology as well as scoping of the workload for the WI given the large number of recommendations in the TR.</w:t>
      </w:r>
    </w:p>
    <w:p w14:paraId="20076EC7" w14:textId="4182A020" w:rsidR="002F2DCE" w:rsidRDefault="00230D18" w:rsidP="00704935">
      <w:pPr>
        <w:pStyle w:val="Heading1"/>
        <w:numPr>
          <w:ilvl w:val="0"/>
          <w:numId w:val="0"/>
        </w:numPr>
        <w:ind w:left="360" w:hanging="360"/>
      </w:pPr>
      <w:bookmarkStart w:id="0" w:name="_Ref178064866"/>
      <w:r w:rsidRPr="00B873EF">
        <w:t>2</w:t>
      </w:r>
      <w:r w:rsidRPr="00B873EF">
        <w:tab/>
      </w:r>
      <w:bookmarkEnd w:id="0"/>
      <w:r w:rsidR="0051625D">
        <w:t>On Selection of Numerology</w:t>
      </w:r>
    </w:p>
    <w:p w14:paraId="1DA01228" w14:textId="1692E7D2" w:rsidR="002F2DCE" w:rsidRDefault="002F2DCE" w:rsidP="00704935">
      <w:pPr>
        <w:pStyle w:val="Heading2"/>
        <w:numPr>
          <w:ilvl w:val="1"/>
          <w:numId w:val="0"/>
        </w:numPr>
        <w:ind w:left="504" w:hanging="504"/>
      </w:pPr>
      <w:bookmarkStart w:id="1" w:name="_Toc53775889"/>
      <w:r>
        <w:t>2.1</w:t>
      </w:r>
      <w:r>
        <w:tab/>
      </w:r>
      <w:bookmarkEnd w:id="1"/>
      <w:r>
        <w:t xml:space="preserve">SCS </w:t>
      </w:r>
      <w:r w:rsidR="00094E75">
        <w:t>Selection for Initial Access</w:t>
      </w:r>
    </w:p>
    <w:p w14:paraId="20E538DD" w14:textId="163CC3ED" w:rsidR="002F2DCE" w:rsidRPr="0098669B" w:rsidRDefault="00DE389A" w:rsidP="002F2DCE">
      <w:pPr>
        <w:pStyle w:val="BodyText"/>
      </w:pPr>
      <w:r w:rsidRPr="0098669B">
        <w:t>W</w:t>
      </w:r>
      <w:r w:rsidR="002F2DCE" w:rsidRPr="0098669B">
        <w:t>ith larger SCS</w:t>
      </w:r>
      <w:r w:rsidRPr="0098669B">
        <w:t xml:space="preserve"> values (480, 960 kHz)</w:t>
      </w:r>
      <w:r w:rsidR="002F2DCE" w:rsidRPr="0098669B">
        <w:t xml:space="preserve">, the OFDM symbol duration becomes shorter </w:t>
      </w:r>
      <w:r w:rsidR="00E623F5" w:rsidRPr="0098669B">
        <w:t xml:space="preserve">compared to SCS(s) used in FR2, </w:t>
      </w:r>
      <w:r w:rsidR="002F2DCE" w:rsidRPr="0098669B">
        <w:t xml:space="preserve">which negatively impacts coverage for fixed payload channels (e.g., PDCCH/PUCCH) and variable payload channels (e.g., PDSCH/PUSCH). The same is true for initial access signals and channels (SS/PBCH block, PRACH) </w:t>
      </w:r>
      <w:r w:rsidR="00E623F5" w:rsidRPr="0098669B">
        <w:t xml:space="preserve">as shown in the link budgets included in </w:t>
      </w:r>
      <w:r w:rsidR="00E623F5" w:rsidRPr="0098669B">
        <w:fldChar w:fldCharType="begin"/>
      </w:r>
      <w:r w:rsidR="00E623F5" w:rsidRPr="0098669B">
        <w:instrText xml:space="preserve"> REF _Ref57122125 \r \h </w:instrText>
      </w:r>
      <w:r w:rsidR="0098669B">
        <w:instrText xml:space="preserve"> \* MERGEFORMAT </w:instrText>
      </w:r>
      <w:r w:rsidR="00E623F5" w:rsidRPr="0098669B">
        <w:fldChar w:fldCharType="separate"/>
      </w:r>
      <w:r w:rsidR="00744A81">
        <w:t>[3]</w:t>
      </w:r>
      <w:r w:rsidR="00E623F5" w:rsidRPr="0098669B">
        <w:fldChar w:fldCharType="end"/>
      </w:r>
      <w:r w:rsidR="002F2DCE" w:rsidRPr="0098669B">
        <w:t>.</w:t>
      </w:r>
    </w:p>
    <w:p w14:paraId="1F0EC50A" w14:textId="2C90E143" w:rsidR="002F2DCE" w:rsidRPr="0098669B" w:rsidRDefault="002F2DCE" w:rsidP="002F2DCE">
      <w:pPr>
        <w:pStyle w:val="BodyText"/>
      </w:pPr>
      <w:r w:rsidRPr="0098669B">
        <w:t xml:space="preserve">Based on this observation, it is important to deploy in a manner that ensures coverage, which further guides what sort of design changes/enhancements compared to Rel-16 should be supported for operation of NR in the 52.6 – 71 GHz band. Two example deployments ensuring coverage are shown in </w:t>
      </w:r>
      <w:r w:rsidRPr="0098669B">
        <w:fldChar w:fldCharType="begin"/>
      </w:r>
      <w:r w:rsidRPr="0098669B">
        <w:instrText xml:space="preserve"> REF _Ref53582177 \h </w:instrText>
      </w:r>
      <w:r w:rsidR="000C64F9" w:rsidRPr="0098669B">
        <w:instrText xml:space="preserve"> \* MERGEFORMAT </w:instrText>
      </w:r>
      <w:r w:rsidRPr="0098669B">
        <w:fldChar w:fldCharType="separate"/>
      </w:r>
      <w:r w:rsidR="00744A81" w:rsidRPr="004F69A1">
        <w:t xml:space="preserve">Figure </w:t>
      </w:r>
      <w:r w:rsidR="00744A81">
        <w:t>1</w:t>
      </w:r>
      <w:r w:rsidRPr="0098669B">
        <w:fldChar w:fldCharType="end"/>
      </w:r>
      <w:r w:rsidRPr="0098669B">
        <w:t>. In both cases, a carrier in the 52.6 – 71 GHz band is deployed, but for the non-standalone deployment, this carrier inter-works with a low(</w:t>
      </w:r>
      <w:proofErr w:type="spellStart"/>
      <w:r w:rsidRPr="0098669B">
        <w:t>er</w:t>
      </w:r>
      <w:proofErr w:type="spellEnd"/>
      <w:r w:rsidRPr="0098669B">
        <w:t>)-band carrier through carrier aggregation (CA) or dual-connectivity (DC).</w:t>
      </w:r>
    </w:p>
    <w:p w14:paraId="14A9CF20" w14:textId="0771B347" w:rsidR="002F2DCE" w:rsidRPr="0098669B" w:rsidRDefault="002F2DCE" w:rsidP="002F2DCE">
      <w:pPr>
        <w:pStyle w:val="BodyText"/>
      </w:pPr>
      <w:r w:rsidRPr="0098669B">
        <w:t>For the standalone case, coverage is ensured by configuration of relatively narrow initial BWP using 120 kHz SCS to avoid coverage loss. The initial BWP is used for initial access, and the existing FR2 framework is directly applicable, e.g., 120 kHz for PRACH and 120</w:t>
      </w:r>
      <w:r w:rsidR="00E623F5" w:rsidRPr="0098669B">
        <w:t xml:space="preserve"> or </w:t>
      </w:r>
      <w:r w:rsidRPr="0098669B">
        <w:t xml:space="preserve">240 kHz for SS/PBCH. In addition, an additional wide BWP is configured with larger SCS (480 kHz), and through BWP switching, this BWP is used to support high data rates </w:t>
      </w:r>
      <w:r w:rsidR="00E623F5" w:rsidRPr="0098669B">
        <w:t xml:space="preserve">on PDSCH/PUSCH </w:t>
      </w:r>
      <w:r w:rsidRPr="0098669B">
        <w:t xml:space="preserve">when needed and </w:t>
      </w:r>
      <w:proofErr w:type="gramStart"/>
      <w:r w:rsidRPr="0098669B">
        <w:t>as long as</w:t>
      </w:r>
      <w:proofErr w:type="gramEnd"/>
      <w:r w:rsidRPr="0098669B">
        <w:t xml:space="preserve"> the UE is in sufficiently good channel conditions.</w:t>
      </w:r>
    </w:p>
    <w:p w14:paraId="517BC4D5" w14:textId="77777777" w:rsidR="002F2DCE" w:rsidRPr="0098669B" w:rsidRDefault="002F2DCE" w:rsidP="002F2DCE">
      <w:pPr>
        <w:pStyle w:val="BodyText"/>
      </w:pPr>
      <w:r w:rsidRPr="0098669B">
        <w:t xml:space="preserve">For the non-standalone case, a </w:t>
      </w:r>
      <w:proofErr w:type="spellStart"/>
      <w:r w:rsidRPr="0098669B">
        <w:t>PCell</w:t>
      </w:r>
      <w:proofErr w:type="spellEnd"/>
      <w:r w:rsidRPr="0098669B">
        <w:t xml:space="preserve"> in the low(</w:t>
      </w:r>
      <w:proofErr w:type="spellStart"/>
      <w:r w:rsidRPr="0098669B">
        <w:t>er</w:t>
      </w:r>
      <w:proofErr w:type="spellEnd"/>
      <w:r w:rsidRPr="0098669B">
        <w:t xml:space="preserve">) band carrier is configured with 15/30 kHz SCS (for FR1) or 120 kHz SCS (for FR2) for which coverage is ensured. Again, the existing Rel-15 initial access framework is directly appliable. In addition, an </w:t>
      </w:r>
      <w:proofErr w:type="spellStart"/>
      <w:r w:rsidRPr="0098669B">
        <w:t>SCell</w:t>
      </w:r>
      <w:proofErr w:type="spellEnd"/>
      <w:r w:rsidRPr="0098669B">
        <w:t xml:space="preserve"> or </w:t>
      </w:r>
      <w:proofErr w:type="spellStart"/>
      <w:r w:rsidRPr="0098669B">
        <w:t>PSCell</w:t>
      </w:r>
      <w:proofErr w:type="spellEnd"/>
      <w:r w:rsidRPr="0098669B">
        <w:t xml:space="preserve"> is configured on the high band </w:t>
      </w:r>
      <w:r w:rsidRPr="0098669B">
        <w:lastRenderedPageBreak/>
        <w:t>carrier (in the 52.6 – 71 GHz band) with 480 kHz SCS which inter-works with the low(</w:t>
      </w:r>
      <w:proofErr w:type="spellStart"/>
      <w:r w:rsidRPr="0098669B">
        <w:t>er</w:t>
      </w:r>
      <w:proofErr w:type="spellEnd"/>
      <w:r w:rsidRPr="0098669B">
        <w:t xml:space="preserve">)-band carrier through CA/DC. The </w:t>
      </w:r>
      <w:proofErr w:type="spellStart"/>
      <w:r w:rsidRPr="0098669B">
        <w:t>SCell</w:t>
      </w:r>
      <w:proofErr w:type="spellEnd"/>
      <w:r w:rsidRPr="0098669B">
        <w:t>/</w:t>
      </w:r>
      <w:proofErr w:type="spellStart"/>
      <w:r w:rsidRPr="0098669B">
        <w:t>PSCell</w:t>
      </w:r>
      <w:proofErr w:type="spellEnd"/>
      <w:r w:rsidRPr="0098669B">
        <w:t xml:space="preserve"> is activated in order to support high data rates when needed </w:t>
      </w:r>
      <w:proofErr w:type="gramStart"/>
      <w:r w:rsidRPr="0098669B">
        <w:t>as long as</w:t>
      </w:r>
      <w:proofErr w:type="gramEnd"/>
      <w:r w:rsidRPr="0098669B">
        <w:t xml:space="preserve"> the UE is in sufficiently good channel conditions.</w:t>
      </w:r>
    </w:p>
    <w:p w14:paraId="4CB058CD" w14:textId="755A5268" w:rsidR="002F2DCE" w:rsidRPr="0098669B" w:rsidRDefault="002F2DCE" w:rsidP="0098669B">
      <w:pPr>
        <w:pStyle w:val="BodyText"/>
      </w:pPr>
      <w:r w:rsidRPr="0098669B">
        <w:t>Based on these deployment scenarios, the basic tools in the Rel-16 spec are already in place to ensure both coverage and support of high data rates. We do not see a need to standardize coverage enhancement approaches for initial access signals</w:t>
      </w:r>
      <w:r w:rsidR="0098669B" w:rsidRPr="0098669B">
        <w:t>/</w:t>
      </w:r>
      <w:r w:rsidRPr="0098669B">
        <w:t>channels or for control/data channels for larger SCS.</w:t>
      </w:r>
    </w:p>
    <w:p w14:paraId="19C7C799" w14:textId="4A62D41B" w:rsidR="0098669B" w:rsidRPr="0098669B" w:rsidRDefault="0098669B" w:rsidP="0098669B">
      <w:pPr>
        <w:pStyle w:val="Proposal"/>
        <w:rPr>
          <w:lang w:eastAsia="ja-JP"/>
        </w:rPr>
      </w:pPr>
      <w:bookmarkStart w:id="2" w:name="_Toc57130581"/>
      <w:bookmarkStart w:id="3" w:name="_Toc57130929"/>
      <w:bookmarkStart w:id="4" w:name="_Toc57131001"/>
      <w:bookmarkStart w:id="5" w:name="_Toc57180861"/>
      <w:bookmarkStart w:id="6" w:name="_Toc57180987"/>
      <w:bookmarkStart w:id="7" w:name="_Toc57186244"/>
      <w:r w:rsidRPr="0098669B">
        <w:rPr>
          <w:lang w:eastAsia="ja-JP"/>
        </w:rPr>
        <w:t>For initial access on a carrier in the 52.6 – 71 GHz band, support both 120 and 240 kHz SCS for SS/PBCH block</w:t>
      </w:r>
      <w:r w:rsidR="00944B48">
        <w:rPr>
          <w:lang w:eastAsia="ja-JP"/>
        </w:rPr>
        <w:t xml:space="preserve">, and 120 kHz </w:t>
      </w:r>
      <w:r w:rsidR="00CA7D74">
        <w:rPr>
          <w:lang w:eastAsia="ja-JP"/>
        </w:rPr>
        <w:t xml:space="preserve">SCS </w:t>
      </w:r>
      <w:r w:rsidR="00944B48">
        <w:rPr>
          <w:lang w:eastAsia="ja-JP"/>
        </w:rPr>
        <w:t>for RMSI (SIB1) delivery and RACH-related messages</w:t>
      </w:r>
      <w:r w:rsidRPr="0098669B">
        <w:rPr>
          <w:lang w:eastAsia="ja-JP"/>
        </w:rPr>
        <w:t xml:space="preserve"> </w:t>
      </w:r>
      <w:r w:rsidR="00CA7D74">
        <w:rPr>
          <w:lang w:eastAsia="ja-JP"/>
        </w:rPr>
        <w:t xml:space="preserve">in an initial BWP </w:t>
      </w:r>
      <w:r w:rsidRPr="0098669B">
        <w:rPr>
          <w:lang w:eastAsia="ja-JP"/>
        </w:rPr>
        <w:t>(as in FR2).</w:t>
      </w:r>
      <w:bookmarkEnd w:id="2"/>
      <w:bookmarkEnd w:id="3"/>
      <w:bookmarkEnd w:id="4"/>
      <w:bookmarkEnd w:id="5"/>
      <w:bookmarkEnd w:id="6"/>
      <w:bookmarkEnd w:id="7"/>
    </w:p>
    <w:p w14:paraId="58B90C24" w14:textId="77777777" w:rsidR="0098669B" w:rsidRPr="0098669B" w:rsidRDefault="0098669B" w:rsidP="002F2DCE">
      <w:pPr>
        <w:rPr>
          <w:sz w:val="24"/>
          <w:szCs w:val="24"/>
        </w:rPr>
      </w:pPr>
    </w:p>
    <w:p w14:paraId="244B7E2D" w14:textId="77777777" w:rsidR="002F2DCE" w:rsidRDefault="002F2DCE" w:rsidP="002F2DCE">
      <w:pPr>
        <w:keepNext/>
        <w:tabs>
          <w:tab w:val="center" w:pos="2340"/>
          <w:tab w:val="center" w:pos="7290"/>
        </w:tabs>
        <w:contextualSpacing/>
      </w:pPr>
      <w:r w:rsidRPr="00C361FF">
        <w:rPr>
          <w:rFonts w:ascii="Arial" w:hAnsi="Arial" w:cs="Arial"/>
          <w:noProof/>
        </w:rPr>
        <w:drawing>
          <wp:inline distT="0" distB="0" distL="0" distR="0" wp14:anchorId="13623367" wp14:editId="395AAE64">
            <wp:extent cx="2514600" cy="18288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4600" cy="1828800"/>
                    </a:xfrm>
                    <a:prstGeom prst="rect">
                      <a:avLst/>
                    </a:prstGeom>
                    <a:noFill/>
                  </pic:spPr>
                </pic:pic>
              </a:graphicData>
            </a:graphic>
          </wp:inline>
        </w:drawing>
      </w:r>
      <w:r>
        <w:rPr>
          <w:rFonts w:ascii="Arial" w:hAnsi="Arial" w:cs="Arial"/>
        </w:rPr>
        <w:tab/>
      </w:r>
      <w:r>
        <w:rPr>
          <w:rFonts w:ascii="Arial" w:hAnsi="Arial" w:cs="Arial"/>
          <w:noProof/>
        </w:rPr>
        <w:drawing>
          <wp:inline distT="0" distB="0" distL="0" distR="0" wp14:anchorId="66E1001A" wp14:editId="60CDD41D">
            <wp:extent cx="2971800" cy="1234440"/>
            <wp:effectExtent l="0" t="0" r="0" b="3810"/>
            <wp:docPr id="1614471041" name="Picture 161447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1800" cy="1234440"/>
                    </a:xfrm>
                    <a:prstGeom prst="rect">
                      <a:avLst/>
                    </a:prstGeom>
                    <a:noFill/>
                  </pic:spPr>
                </pic:pic>
              </a:graphicData>
            </a:graphic>
          </wp:inline>
        </w:drawing>
      </w:r>
    </w:p>
    <w:p w14:paraId="1AD58408" w14:textId="2DADA5D2" w:rsidR="002F2DCE" w:rsidRPr="000926C4" w:rsidRDefault="002F2DCE" w:rsidP="0098669B">
      <w:pPr>
        <w:pStyle w:val="TF"/>
        <w:jc w:val="both"/>
        <w:rPr>
          <w:rFonts w:cs="Arial"/>
          <w:sz w:val="20"/>
          <w:szCs w:val="20"/>
          <w:highlight w:val="yellow"/>
        </w:rPr>
      </w:pPr>
      <w:bookmarkStart w:id="8" w:name="_Ref53582177"/>
      <w:r w:rsidRPr="000926C4">
        <w:rPr>
          <w:sz w:val="20"/>
          <w:szCs w:val="20"/>
          <w:lang w:val="en-US"/>
        </w:rPr>
        <w:t xml:space="preserve">Figure </w:t>
      </w:r>
      <w:r w:rsidRPr="000926C4">
        <w:rPr>
          <w:sz w:val="20"/>
          <w:szCs w:val="20"/>
          <w:lang w:val="en-US"/>
        </w:rPr>
        <w:fldChar w:fldCharType="begin"/>
      </w:r>
      <w:r w:rsidRPr="000926C4">
        <w:rPr>
          <w:sz w:val="20"/>
          <w:szCs w:val="20"/>
        </w:rPr>
        <w:instrText xml:space="preserve"> SEQ Figure \* ARABIC </w:instrText>
      </w:r>
      <w:r w:rsidRPr="000926C4">
        <w:rPr>
          <w:sz w:val="20"/>
          <w:szCs w:val="20"/>
          <w:lang w:val="en-US"/>
        </w:rPr>
        <w:fldChar w:fldCharType="separate"/>
      </w:r>
      <w:r w:rsidR="00744A81">
        <w:rPr>
          <w:sz w:val="20"/>
          <w:szCs w:val="20"/>
        </w:rPr>
        <w:t>1</w:t>
      </w:r>
      <w:r w:rsidRPr="000926C4">
        <w:rPr>
          <w:sz w:val="20"/>
          <w:szCs w:val="20"/>
          <w:lang w:val="en-US"/>
        </w:rPr>
        <w:fldChar w:fldCharType="end"/>
      </w:r>
      <w:bookmarkEnd w:id="8"/>
      <w:r w:rsidRPr="000926C4">
        <w:rPr>
          <w:sz w:val="20"/>
          <w:szCs w:val="20"/>
          <w:lang w:val="en-US"/>
        </w:rPr>
        <w:t>: Deployment scenarios for ensuring coverage with reuse of FR2 initial access framework</w:t>
      </w:r>
      <w:r w:rsidR="007621FF" w:rsidRPr="000926C4">
        <w:rPr>
          <w:sz w:val="20"/>
          <w:szCs w:val="20"/>
          <w:lang w:val="en-US"/>
        </w:rPr>
        <w:t>.</w:t>
      </w:r>
    </w:p>
    <w:p w14:paraId="1F20D52C" w14:textId="747DFCEC" w:rsidR="003704D6" w:rsidRDefault="000C64F9" w:rsidP="00704935">
      <w:pPr>
        <w:pStyle w:val="Heading2"/>
        <w:numPr>
          <w:ilvl w:val="1"/>
          <w:numId w:val="0"/>
        </w:numPr>
        <w:ind w:left="504" w:hanging="504"/>
      </w:pPr>
      <w:r>
        <w:t>2.2</w:t>
      </w:r>
      <w:r>
        <w:tab/>
        <w:t xml:space="preserve">SCS </w:t>
      </w:r>
      <w:r w:rsidR="00094E75">
        <w:t>Selection for Higher Data Rates</w:t>
      </w:r>
    </w:p>
    <w:p w14:paraId="6304E116" w14:textId="4CB3A2F1" w:rsidR="003704D6" w:rsidRDefault="0098669B" w:rsidP="0098669B">
      <w:pPr>
        <w:pStyle w:val="BodyText"/>
      </w:pPr>
      <w:r>
        <w:t>With larger sub-carrier spacings, the OFDM symbol duration and the associated cyclic prefix (CP) duration become shorter.</w:t>
      </w:r>
      <w:r w:rsidR="003704D6">
        <w:t xml:space="preserve"> For 120</w:t>
      </w:r>
      <w:r w:rsidR="00C87651">
        <w:t xml:space="preserve"> </w:t>
      </w:r>
      <w:r w:rsidR="003704D6">
        <w:t>/</w:t>
      </w:r>
      <w:r w:rsidR="00C87651">
        <w:t xml:space="preserve"> </w:t>
      </w:r>
      <w:r w:rsidR="003704D6">
        <w:t>480</w:t>
      </w:r>
      <w:r w:rsidR="00C87651">
        <w:t xml:space="preserve"> </w:t>
      </w:r>
      <w:r w:rsidR="003704D6">
        <w:t>/</w:t>
      </w:r>
      <w:r w:rsidR="00C87651">
        <w:t xml:space="preserve"> </w:t>
      </w:r>
      <w:r w:rsidR="003704D6">
        <w:t>960 kHz SCS the CP duration is 586</w:t>
      </w:r>
      <w:r w:rsidR="00C87651">
        <w:t xml:space="preserve"> </w:t>
      </w:r>
      <w:r w:rsidR="003704D6">
        <w:t>/</w:t>
      </w:r>
      <w:r w:rsidR="00C87651">
        <w:t xml:space="preserve"> </w:t>
      </w:r>
      <w:r w:rsidR="003704D6">
        <w:t>147</w:t>
      </w:r>
      <w:r w:rsidR="00C87651">
        <w:t xml:space="preserve"> </w:t>
      </w:r>
      <w:r w:rsidR="003704D6">
        <w:t>/</w:t>
      </w:r>
      <w:r w:rsidR="00C87651">
        <w:t xml:space="preserve"> </w:t>
      </w:r>
      <w:r w:rsidR="003704D6">
        <w:t xml:space="preserve">73 ns, respectively. The CP must be able to absorb various forms of timing </w:t>
      </w:r>
      <w:r w:rsidR="004D2A96">
        <w:t>synchronization inaccuracies</w:t>
      </w:r>
      <w:r w:rsidR="003704D6">
        <w:t xml:space="preserve">. For example, in the uplink some or </w:t>
      </w:r>
      <w:proofErr w:type="gramStart"/>
      <w:r w:rsidR="003704D6">
        <w:t>all of</w:t>
      </w:r>
      <w:proofErr w:type="gramEnd"/>
      <w:r w:rsidR="003704D6">
        <w:t xml:space="preserve"> the following sources of timing error must be considered:</w:t>
      </w:r>
    </w:p>
    <w:p w14:paraId="498B51EC" w14:textId="34B82734" w:rsidR="003704D6" w:rsidRDefault="003704D6" w:rsidP="003704D6">
      <w:pPr>
        <w:pStyle w:val="BodyText"/>
        <w:numPr>
          <w:ilvl w:val="0"/>
          <w:numId w:val="21"/>
        </w:numPr>
        <w:spacing w:after="0"/>
      </w:pPr>
      <w:r>
        <w:t>Post-beamforming delay spread</w:t>
      </w:r>
    </w:p>
    <w:p w14:paraId="17C4B9B4" w14:textId="7FDB26EC" w:rsidR="003704D6" w:rsidRDefault="003704D6" w:rsidP="003704D6">
      <w:pPr>
        <w:pStyle w:val="BodyText"/>
        <w:numPr>
          <w:ilvl w:val="0"/>
          <w:numId w:val="21"/>
        </w:numPr>
        <w:spacing w:after="0"/>
      </w:pPr>
      <w:r>
        <w:t>Initial timing error (</w:t>
      </w:r>
      <w:proofErr w:type="spellStart"/>
      <w:r>
        <w:t>T</w:t>
      </w:r>
      <w:r w:rsidRPr="004D2A96">
        <w:rPr>
          <w:vertAlign w:val="subscript"/>
        </w:rPr>
        <w:t>e</w:t>
      </w:r>
      <w:proofErr w:type="spellEnd"/>
      <w:r>
        <w:t>) as specified in 38.133</w:t>
      </w:r>
    </w:p>
    <w:p w14:paraId="15711C0E" w14:textId="37DF099B" w:rsidR="003704D6" w:rsidRDefault="003704D6" w:rsidP="003704D6">
      <w:pPr>
        <w:pStyle w:val="BodyText"/>
        <w:numPr>
          <w:ilvl w:val="0"/>
          <w:numId w:val="21"/>
        </w:numPr>
        <w:spacing w:after="0"/>
      </w:pPr>
      <w:r>
        <w:t>Timing advance granularity</w:t>
      </w:r>
    </w:p>
    <w:p w14:paraId="028051A9" w14:textId="1C88A11B" w:rsidR="003704D6" w:rsidRDefault="003704D6" w:rsidP="003704D6">
      <w:pPr>
        <w:pStyle w:val="BodyText"/>
        <w:numPr>
          <w:ilvl w:val="0"/>
          <w:numId w:val="21"/>
        </w:numPr>
        <w:spacing w:after="0"/>
      </w:pPr>
      <w:r>
        <w:t>UL MIMO TAE</w:t>
      </w:r>
    </w:p>
    <w:p w14:paraId="40993ED5" w14:textId="58E23D3F" w:rsidR="003704D6" w:rsidRDefault="003704D6" w:rsidP="003704D6">
      <w:pPr>
        <w:pStyle w:val="BodyText"/>
        <w:numPr>
          <w:ilvl w:val="0"/>
          <w:numId w:val="21"/>
        </w:numPr>
      </w:pPr>
      <w:r>
        <w:t>Multi-TRP time alignment</w:t>
      </w:r>
    </w:p>
    <w:p w14:paraId="7A5487E1" w14:textId="46991D37" w:rsidR="003704D6" w:rsidRDefault="003704D6" w:rsidP="003704D6">
      <w:pPr>
        <w:pStyle w:val="BodyText"/>
      </w:pPr>
      <w:r>
        <w:t xml:space="preserve">As we have </w:t>
      </w:r>
      <w:proofErr w:type="spellStart"/>
      <w:r>
        <w:t>analyzed</w:t>
      </w:r>
      <w:proofErr w:type="spellEnd"/>
      <w:r>
        <w:t xml:space="preserve"> in </w:t>
      </w:r>
      <w:r w:rsidR="00706086">
        <w:fldChar w:fldCharType="begin"/>
      </w:r>
      <w:r w:rsidR="00706086">
        <w:instrText xml:space="preserve"> REF _Ref57122125 \r \h </w:instrText>
      </w:r>
      <w:r w:rsidR="00706086">
        <w:fldChar w:fldCharType="separate"/>
      </w:r>
      <w:r w:rsidR="00744A81">
        <w:t>[3]</w:t>
      </w:r>
      <w:r w:rsidR="00706086">
        <w:fldChar w:fldCharType="end"/>
      </w:r>
      <w:r w:rsidR="00706086">
        <w:t>, even in indoor environments (e.g., Indoor Factory), the 90</w:t>
      </w:r>
      <w:r w:rsidR="00706086" w:rsidRPr="00706086">
        <w:rPr>
          <w:vertAlign w:val="superscript"/>
        </w:rPr>
        <w:t>th</w:t>
      </w:r>
      <w:r w:rsidR="00706086">
        <w:t xml:space="preserve"> percentile post-beamforming delay spread can be on the order of </w:t>
      </w:r>
      <w:r w:rsidR="004D2A96">
        <w:t>multiple tens</w:t>
      </w:r>
      <w:r w:rsidR="00706086">
        <w:t xml:space="preserve"> of ns</w:t>
      </w:r>
      <w:r w:rsidR="004D2A96">
        <w:t xml:space="preserve"> -- </w:t>
      </w:r>
      <w:r w:rsidR="00706086">
        <w:t xml:space="preserve">see </w:t>
      </w:r>
      <w:r w:rsidR="00706086">
        <w:fldChar w:fldCharType="begin"/>
      </w:r>
      <w:r w:rsidR="00706086">
        <w:instrText xml:space="preserve"> REF _Ref57123637 \h </w:instrText>
      </w:r>
      <w:r w:rsidR="00706086">
        <w:fldChar w:fldCharType="separate"/>
      </w:r>
      <w:r w:rsidR="00744A81" w:rsidRPr="000926C4">
        <w:rPr>
          <w:sz w:val="20"/>
          <w:szCs w:val="20"/>
        </w:rPr>
        <w:t xml:space="preserve">Figure </w:t>
      </w:r>
      <w:r w:rsidR="00744A81">
        <w:rPr>
          <w:sz w:val="20"/>
          <w:szCs w:val="20"/>
        </w:rPr>
        <w:t>2</w:t>
      </w:r>
      <w:r w:rsidR="00706086">
        <w:fldChar w:fldCharType="end"/>
      </w:r>
      <w:r w:rsidR="004D2A96">
        <w:t xml:space="preserve"> which shows that the 90</w:t>
      </w:r>
      <w:r w:rsidR="004D2A96" w:rsidRPr="004D2A96">
        <w:rPr>
          <w:vertAlign w:val="superscript"/>
        </w:rPr>
        <w:t>th</w:t>
      </w:r>
      <w:r w:rsidR="004D2A96">
        <w:t xml:space="preserve"> percentile post-beamforming RMS delay spread is 45 ns. </w:t>
      </w:r>
      <w:r w:rsidR="00706086">
        <w:t xml:space="preserve">In addition, it was found that in </w:t>
      </w:r>
      <w:r w:rsidR="004D2A96">
        <w:t>the indoor factory environment</w:t>
      </w:r>
      <w:r w:rsidR="00706086">
        <w:t xml:space="preserve">, such delay spreads can occur simultaneously with </w:t>
      </w:r>
      <w:r w:rsidR="004D2A96">
        <w:t xml:space="preserve">relatively </w:t>
      </w:r>
      <w:r w:rsidR="00706086">
        <w:t xml:space="preserve">large SNR. </w:t>
      </w:r>
    </w:p>
    <w:p w14:paraId="6A85674C" w14:textId="77777777" w:rsidR="00706086" w:rsidRDefault="00706086" w:rsidP="00706086">
      <w:pPr>
        <w:pStyle w:val="BodyText"/>
        <w:keepNext/>
        <w:jc w:val="center"/>
      </w:pPr>
      <w:r w:rsidRPr="00BD2101">
        <w:rPr>
          <w:noProof/>
        </w:rPr>
        <w:lastRenderedPageBreak/>
        <w:drawing>
          <wp:inline distT="0" distB="0" distL="0" distR="0" wp14:anchorId="09B0FCAE" wp14:editId="44CBD25E">
            <wp:extent cx="3360815" cy="25206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8803" cy="2526602"/>
                    </a:xfrm>
                    <a:prstGeom prst="rect">
                      <a:avLst/>
                    </a:prstGeom>
                    <a:noFill/>
                    <a:ln>
                      <a:noFill/>
                    </a:ln>
                  </pic:spPr>
                </pic:pic>
              </a:graphicData>
            </a:graphic>
          </wp:inline>
        </w:drawing>
      </w:r>
    </w:p>
    <w:p w14:paraId="1AD8C958" w14:textId="292032D3" w:rsidR="00706086" w:rsidRPr="000926C4" w:rsidRDefault="00706086" w:rsidP="00706086">
      <w:pPr>
        <w:pStyle w:val="TF"/>
        <w:jc w:val="both"/>
        <w:rPr>
          <w:sz w:val="20"/>
          <w:szCs w:val="20"/>
        </w:rPr>
      </w:pPr>
      <w:bookmarkStart w:id="9" w:name="_Ref57123637"/>
      <w:r w:rsidRPr="000926C4">
        <w:rPr>
          <w:sz w:val="20"/>
          <w:szCs w:val="20"/>
          <w:lang w:val="en-US"/>
        </w:rPr>
        <w:t xml:space="preserve">Figure </w:t>
      </w:r>
      <w:r w:rsidRPr="000926C4">
        <w:rPr>
          <w:rFonts w:cs="Arial"/>
          <w:sz w:val="20"/>
          <w:szCs w:val="20"/>
        </w:rPr>
        <w:fldChar w:fldCharType="begin"/>
      </w:r>
      <w:r w:rsidRPr="000926C4">
        <w:rPr>
          <w:sz w:val="20"/>
          <w:szCs w:val="20"/>
        </w:rPr>
        <w:instrText xml:space="preserve"> SEQ Figure \* ARABIC </w:instrText>
      </w:r>
      <w:r w:rsidRPr="000926C4">
        <w:rPr>
          <w:rFonts w:cs="Arial"/>
          <w:sz w:val="20"/>
          <w:szCs w:val="20"/>
        </w:rPr>
        <w:fldChar w:fldCharType="separate"/>
      </w:r>
      <w:r w:rsidR="00744A81">
        <w:rPr>
          <w:sz w:val="20"/>
          <w:szCs w:val="20"/>
        </w:rPr>
        <w:t>2</w:t>
      </w:r>
      <w:r w:rsidRPr="000926C4">
        <w:rPr>
          <w:rFonts w:cs="Arial"/>
          <w:sz w:val="20"/>
          <w:szCs w:val="20"/>
        </w:rPr>
        <w:fldChar w:fldCharType="end"/>
      </w:r>
      <w:bookmarkEnd w:id="9"/>
      <w:r w:rsidRPr="000926C4">
        <w:rPr>
          <w:rFonts w:cs="Arial"/>
          <w:sz w:val="20"/>
          <w:szCs w:val="20"/>
        </w:rPr>
        <w:t xml:space="preserve">: CDF of pre- and post-beamforming RMS delay spread based on system level evaluation for Factory Scenario-A </w:t>
      </w:r>
      <w:r w:rsidRPr="000926C4">
        <w:rPr>
          <w:rFonts w:cs="Arial"/>
          <w:sz w:val="20"/>
          <w:szCs w:val="20"/>
          <w:lang w:val="en-US"/>
        </w:rPr>
        <w:t>(</w:t>
      </w:r>
      <w:proofErr w:type="spellStart"/>
      <w:r w:rsidRPr="000926C4">
        <w:rPr>
          <w:rFonts w:cs="Arial"/>
          <w:sz w:val="20"/>
          <w:szCs w:val="20"/>
          <w:lang w:val="en-US"/>
        </w:rPr>
        <w:t>InF</w:t>
      </w:r>
      <w:proofErr w:type="spellEnd"/>
      <w:r w:rsidRPr="000926C4">
        <w:rPr>
          <w:rFonts w:cs="Arial"/>
          <w:sz w:val="20"/>
          <w:szCs w:val="20"/>
          <w:lang w:val="en-US"/>
        </w:rPr>
        <w:t xml:space="preserve">-DH) </w:t>
      </w:r>
      <w:r w:rsidRPr="000926C4">
        <w:rPr>
          <w:rFonts w:cs="Arial"/>
          <w:sz w:val="20"/>
          <w:szCs w:val="20"/>
        </w:rPr>
        <w:t xml:space="preserve">defined in TR 38.808. The gNB is deployed with single-antenna panel with array size 4x8 (ceiling-mounted). The UE antenna array size is 2x2. </w:t>
      </w:r>
    </w:p>
    <w:p w14:paraId="099B8AC9" w14:textId="731FAEAE" w:rsidR="00A92E49" w:rsidRDefault="00706086" w:rsidP="0098669B">
      <w:pPr>
        <w:pStyle w:val="BodyText"/>
      </w:pPr>
      <w:r>
        <w:t>In such an environment</w:t>
      </w:r>
      <w:r w:rsidR="0098669B">
        <w:t xml:space="preserve">, the </w:t>
      </w:r>
      <w:r>
        <w:t xml:space="preserve">consequence is that the </w:t>
      </w:r>
      <w:r w:rsidR="0098669B">
        <w:t xml:space="preserve">percentage of </w:t>
      </w:r>
      <w:r>
        <w:t xml:space="preserve">UE-gNB </w:t>
      </w:r>
      <w:r w:rsidR="0098669B">
        <w:t>links for which interference due to ISI is dominant can be significant</w:t>
      </w:r>
      <w:r w:rsidR="00A92E49">
        <w:t>. I</w:t>
      </w:r>
      <w:r w:rsidR="0098669B">
        <w:t xml:space="preserve">f </w:t>
      </w:r>
      <w:r w:rsidR="00A92E49">
        <w:t>the CP duration is not sufficiently long</w:t>
      </w:r>
      <w:r w:rsidR="0098669B">
        <w:t xml:space="preserve">, there are a significant number of links for which a high data rate could be achieved if ISI was not limiting. This is especially true when one factors in </w:t>
      </w:r>
      <w:r w:rsidR="00A92E49">
        <w:t xml:space="preserve">the </w:t>
      </w:r>
      <w:r w:rsidR="0098669B">
        <w:t xml:space="preserve">other sources of </w:t>
      </w:r>
      <w:r w:rsidR="00A92E49">
        <w:t xml:space="preserve">time </w:t>
      </w:r>
      <w:r w:rsidR="0098669B">
        <w:t xml:space="preserve">synchronization </w:t>
      </w:r>
      <w:r w:rsidR="00A92E49">
        <w:t xml:space="preserve">error listed above. Accounting for all </w:t>
      </w:r>
      <w:r w:rsidR="0098669B">
        <w:t xml:space="preserve">sources of error, there </w:t>
      </w:r>
      <w:r w:rsidR="00A92E49">
        <w:t>can be</w:t>
      </w:r>
      <w:r w:rsidR="0098669B">
        <w:t xml:space="preserve"> </w:t>
      </w:r>
      <w:proofErr w:type="gramStart"/>
      <w:r w:rsidR="004D2A96">
        <w:t>little</w:t>
      </w:r>
      <w:proofErr w:type="gramEnd"/>
      <w:r w:rsidR="0098669B">
        <w:t xml:space="preserve"> or no margin left for delay spread if using </w:t>
      </w:r>
      <w:r w:rsidR="00A92E49">
        <w:t>an SCS with too short CP</w:t>
      </w:r>
      <w:r w:rsidR="0098669B">
        <w:t xml:space="preserve">. </w:t>
      </w:r>
      <w:r w:rsidR="004D2A96">
        <w:t>For example, considering 45 ns delay spread and 65 ns MIMO TAE, it is evident that 480 kHz SCS (146 ns CP) is a good choice for this environment since it leaves margin for other sources of timing error (</w:t>
      </w:r>
      <w:proofErr w:type="spellStart"/>
      <w:r w:rsidR="004D2A96">
        <w:t>T</w:t>
      </w:r>
      <w:r w:rsidR="004D2A96" w:rsidRPr="004D2A96">
        <w:rPr>
          <w:vertAlign w:val="subscript"/>
        </w:rPr>
        <w:t>e</w:t>
      </w:r>
      <w:proofErr w:type="spellEnd"/>
      <w:r w:rsidR="004D2A96">
        <w:t>, timing advance granularity, and multi-TRP alignment errors, if applicable).</w:t>
      </w:r>
    </w:p>
    <w:p w14:paraId="5D6D700D" w14:textId="719F69F8" w:rsidR="00BB7483" w:rsidRDefault="004D2A96" w:rsidP="0098669B">
      <w:pPr>
        <w:pStyle w:val="BodyText"/>
      </w:pPr>
      <w:r>
        <w:t xml:space="preserve">To </w:t>
      </w:r>
      <w:r w:rsidR="00003208">
        <w:t>maximize</w:t>
      </w:r>
      <w:r>
        <w:t xml:space="preserve"> the range of deployment scenarios which can benefit from high data rates, we have a strong preference that 480 kHz SCS should be supported for operation in the 52.6 – 71 GHz band since it leaves </w:t>
      </w:r>
      <w:r w:rsidR="00BB7483">
        <w:t xml:space="preserve">a sufficient </w:t>
      </w:r>
      <w:r>
        <w:t>margin</w:t>
      </w:r>
      <w:r w:rsidR="00BB7483">
        <w:t xml:space="preserve"> in the CP duration for a variety of timing synchronization inaccuracies without relying on excessive tightening of UL timing error requirements</w:t>
      </w:r>
      <w:r>
        <w:t>.</w:t>
      </w:r>
      <w:r w:rsidR="00BB7483">
        <w:t xml:space="preserve"> In addition, we do not prefer to adopt ECP since it has a significant impact on achievable data rates due to </w:t>
      </w:r>
      <w:r w:rsidR="00003208">
        <w:t xml:space="preserve">15% </w:t>
      </w:r>
      <w:r w:rsidR="00BB7483">
        <w:t>higher overhead.</w:t>
      </w:r>
    </w:p>
    <w:p w14:paraId="7DE608E2" w14:textId="77777777" w:rsidR="00E70F42" w:rsidRDefault="00E70F42" w:rsidP="0098669B">
      <w:pPr>
        <w:pStyle w:val="BodyText"/>
      </w:pPr>
      <w:bookmarkStart w:id="10" w:name="_Toc57180860"/>
      <w:bookmarkEnd w:id="10"/>
    </w:p>
    <w:p w14:paraId="42B2630C" w14:textId="1F966DD9" w:rsidR="00744A81" w:rsidRPr="00744A81" w:rsidRDefault="00FE21A5" w:rsidP="00744A81">
      <w:pPr>
        <w:pStyle w:val="Proposal"/>
      </w:pPr>
      <w:bookmarkStart w:id="11" w:name="_Toc57130582"/>
      <w:bookmarkStart w:id="12" w:name="_Toc57130930"/>
      <w:bookmarkStart w:id="13" w:name="_Toc57131002"/>
      <w:bookmarkStart w:id="14" w:name="_Toc57180862"/>
      <w:bookmarkStart w:id="15" w:name="_Toc57180988"/>
      <w:bookmarkStart w:id="16" w:name="_Toc57186245"/>
      <w:r w:rsidRPr="00744A81">
        <w:t xml:space="preserve">For operation in the 52.6 – 71 GHz band, </w:t>
      </w:r>
      <w:r w:rsidR="004753E1" w:rsidRPr="00744A81">
        <w:t xml:space="preserve">support </w:t>
      </w:r>
      <w:r w:rsidR="007621FF" w:rsidRPr="00744A81">
        <w:t xml:space="preserve">120 and 480 kHz </w:t>
      </w:r>
      <w:r w:rsidR="004753E1" w:rsidRPr="00744A81">
        <w:t xml:space="preserve">SCS </w:t>
      </w:r>
      <w:r w:rsidRPr="00744A81">
        <w:t>for data</w:t>
      </w:r>
      <w:r w:rsidR="007621FF" w:rsidRPr="00744A81">
        <w:t xml:space="preserve"> </w:t>
      </w:r>
      <w:r w:rsidR="004753E1" w:rsidRPr="00744A81">
        <w:t>(</w:t>
      </w:r>
      <w:r w:rsidR="007621FF" w:rsidRPr="00744A81">
        <w:t>PDSCH,</w:t>
      </w:r>
      <w:r w:rsidR="005579C3">
        <w:t xml:space="preserve"> </w:t>
      </w:r>
      <w:r w:rsidR="007621FF" w:rsidRPr="00744A81">
        <w:t>PUSCH</w:t>
      </w:r>
      <w:r w:rsidR="004753E1" w:rsidRPr="00744A81">
        <w:t>)</w:t>
      </w:r>
      <w:r w:rsidR="007621FF" w:rsidRPr="00744A81">
        <w:t xml:space="preserve">, </w:t>
      </w:r>
      <w:r w:rsidRPr="00744A81">
        <w:t>control</w:t>
      </w:r>
      <w:r w:rsidR="007621FF" w:rsidRPr="00744A81">
        <w:t xml:space="preserve"> (PDCCH,</w:t>
      </w:r>
      <w:r w:rsidR="005579C3">
        <w:t xml:space="preserve"> </w:t>
      </w:r>
      <w:r w:rsidR="007621FF" w:rsidRPr="00744A81">
        <w:t>PUCCH), and r</w:t>
      </w:r>
      <w:r w:rsidRPr="00744A81">
        <w:t>eference signals</w:t>
      </w:r>
      <w:r w:rsidR="004753E1" w:rsidRPr="00744A81">
        <w:t>.</w:t>
      </w:r>
      <w:bookmarkEnd w:id="11"/>
      <w:bookmarkEnd w:id="12"/>
      <w:bookmarkEnd w:id="13"/>
      <w:bookmarkEnd w:id="14"/>
      <w:bookmarkEnd w:id="15"/>
      <w:bookmarkEnd w:id="16"/>
    </w:p>
    <w:p w14:paraId="3373FCD9" w14:textId="39CE3A16" w:rsidR="000C64F9" w:rsidRPr="0098669B" w:rsidRDefault="000C64F9" w:rsidP="000C64F9">
      <w:pPr>
        <w:pStyle w:val="Proposal"/>
        <w:numPr>
          <w:ilvl w:val="0"/>
          <w:numId w:val="0"/>
        </w:numPr>
        <w:ind w:left="1304" w:hanging="1304"/>
        <w:rPr>
          <w:lang w:eastAsia="ja-JP"/>
        </w:rPr>
      </w:pPr>
      <w:bookmarkStart w:id="17" w:name="_Toc57130583"/>
      <w:bookmarkStart w:id="18" w:name="_Toc57130931"/>
      <w:bookmarkStart w:id="19" w:name="_Toc57131003"/>
      <w:bookmarkStart w:id="20" w:name="_Toc57180863"/>
      <w:bookmarkStart w:id="21" w:name="_Toc57180989"/>
      <w:bookmarkStart w:id="22" w:name="_Toc57186246"/>
      <w:r w:rsidRPr="0098669B">
        <w:rPr>
          <w:lang w:eastAsia="ja-JP"/>
        </w:rPr>
        <w:t>Proposal 3</w:t>
      </w:r>
      <w:r w:rsidRPr="0098669B">
        <w:rPr>
          <w:lang w:eastAsia="ja-JP"/>
        </w:rPr>
        <w:tab/>
        <w:t>For operation in the 52.6 – 71 GHz band, do not support ECP.</w:t>
      </w:r>
      <w:bookmarkEnd w:id="17"/>
      <w:bookmarkEnd w:id="18"/>
      <w:bookmarkEnd w:id="19"/>
      <w:bookmarkEnd w:id="20"/>
      <w:bookmarkEnd w:id="21"/>
      <w:bookmarkEnd w:id="22"/>
    </w:p>
    <w:p w14:paraId="2B4F128F" w14:textId="77777777" w:rsidR="00DC327A" w:rsidRPr="000926C4" w:rsidRDefault="00DC327A" w:rsidP="000926C4">
      <w:pPr>
        <w:pStyle w:val="BodyText"/>
        <w:rPr>
          <w:lang w:val="en-US" w:eastAsia="ja-JP"/>
        </w:rPr>
      </w:pPr>
    </w:p>
    <w:p w14:paraId="413B4305" w14:textId="77777777" w:rsidR="00DC327A" w:rsidRDefault="00DC327A" w:rsidP="00DC327A">
      <w:pPr>
        <w:pStyle w:val="BodyText"/>
      </w:pPr>
      <w:r>
        <w:t xml:space="preserve">In </w:t>
      </w:r>
      <w:r>
        <w:fldChar w:fldCharType="begin"/>
      </w:r>
      <w:r>
        <w:instrText xml:space="preserve"> REF _Ref57122125 \r \h </w:instrText>
      </w:r>
      <w:r>
        <w:fldChar w:fldCharType="separate"/>
      </w:r>
      <w:r>
        <w:t>[3]</w:t>
      </w:r>
      <w:r>
        <w:fldChar w:fldCharType="end"/>
      </w:r>
      <w:r>
        <w:t>, we additionally provide extensive analysis to show that 480 kHz + 1600 MHz maximum bandwidth is a suitable choice for the 52.6 – 71 GHz band with several benefits/merits highlighted in the following observation.</w:t>
      </w:r>
    </w:p>
    <w:p w14:paraId="1986E0A0" w14:textId="51E67B0E" w:rsidR="00DC327A" w:rsidRDefault="00406001" w:rsidP="00DC327A">
      <w:pPr>
        <w:pStyle w:val="Observation"/>
        <w:tabs>
          <w:tab w:val="left" w:pos="1530"/>
        </w:tabs>
        <w:ind w:left="1530" w:hanging="1530"/>
      </w:pPr>
      <w:bookmarkStart w:id="23" w:name="_Toc57183605"/>
      <w:bookmarkStart w:id="24" w:name="_Toc57186242"/>
      <w:r>
        <w:t xml:space="preserve">In addition to maximizing the range of deployment scenarios that can benefit from high data rates, we observe that </w:t>
      </w:r>
      <w:r w:rsidR="00DC327A">
        <w:t>480 kHz + 1600 MHz maximum bandwidth is a suitable choice for the 52.6 – 71 GHz band including performance in the presence of phase noise, complexity per bit when accounting for FFT, FFT utilization, efficient use of spectrum in various regional allocations (e.g., China, IMT band in Europe), etc</w:t>
      </w:r>
      <w:r w:rsidR="00DC327A" w:rsidRPr="00A37EDA">
        <w:rPr>
          <w:b w:val="0"/>
        </w:rPr>
        <w:t>.</w:t>
      </w:r>
      <w:bookmarkEnd w:id="23"/>
      <w:bookmarkEnd w:id="24"/>
    </w:p>
    <w:p w14:paraId="718C716D" w14:textId="77777777" w:rsidR="00DC327A" w:rsidRPr="000926C4" w:rsidRDefault="00DC327A" w:rsidP="000926C4">
      <w:pPr>
        <w:pStyle w:val="BodyText"/>
        <w:rPr>
          <w:lang w:val="en-US" w:eastAsia="ja-JP"/>
        </w:rPr>
      </w:pPr>
    </w:p>
    <w:p w14:paraId="503989C5" w14:textId="567EAB69" w:rsidR="00DF53AC" w:rsidRDefault="00771B0F" w:rsidP="00704935">
      <w:pPr>
        <w:pStyle w:val="Heading1"/>
        <w:numPr>
          <w:ilvl w:val="0"/>
          <w:numId w:val="0"/>
        </w:numPr>
        <w:ind w:left="360" w:hanging="360"/>
        <w:rPr>
          <w:lang w:val="en-US"/>
        </w:rPr>
      </w:pPr>
      <w:r>
        <w:rPr>
          <w:lang w:val="en-US"/>
        </w:rPr>
        <w:lastRenderedPageBreak/>
        <w:t>3</w:t>
      </w:r>
      <w:r>
        <w:rPr>
          <w:lang w:val="en-US"/>
        </w:rPr>
        <w:tab/>
        <w:t>On update of WID</w:t>
      </w:r>
    </w:p>
    <w:p w14:paraId="142A7C2E" w14:textId="108994B7" w:rsidR="00805741" w:rsidRPr="000F2A0F" w:rsidRDefault="00C87651" w:rsidP="00C87651">
      <w:pPr>
        <w:pStyle w:val="BodyText"/>
      </w:pPr>
      <w:r>
        <w:rPr>
          <w:lang w:eastAsia="ja-JP"/>
        </w:rPr>
        <w:t xml:space="preserve">In </w:t>
      </w:r>
      <w:r w:rsidR="00C56D2B">
        <w:rPr>
          <w:lang w:eastAsia="ja-JP"/>
        </w:rPr>
        <w:t xml:space="preserve">RAN#86, a WID was endorsed for extending NR operation to 71 GHz. Based on the conclusions of the </w:t>
      </w:r>
      <w:r w:rsidR="000F2A0F">
        <w:rPr>
          <w:lang w:eastAsia="ja-JP"/>
        </w:rPr>
        <w:t>SI in TR38.808</w:t>
      </w:r>
      <w:r w:rsidR="007B7782">
        <w:rPr>
          <w:lang w:eastAsia="ja-JP"/>
        </w:rPr>
        <w:t xml:space="preserve"> </w:t>
      </w:r>
      <w:r w:rsidR="007B7782">
        <w:rPr>
          <w:lang w:eastAsia="ja-JP"/>
        </w:rPr>
        <w:fldChar w:fldCharType="begin"/>
      </w:r>
      <w:r w:rsidR="007B7782">
        <w:rPr>
          <w:lang w:eastAsia="ja-JP"/>
        </w:rPr>
        <w:instrText xml:space="preserve"> REF _Ref56771483 \r \h </w:instrText>
      </w:r>
      <w:r w:rsidR="007B7782">
        <w:rPr>
          <w:lang w:eastAsia="ja-JP"/>
        </w:rPr>
      </w:r>
      <w:r w:rsidR="007B7782">
        <w:rPr>
          <w:lang w:eastAsia="ja-JP"/>
        </w:rPr>
        <w:fldChar w:fldCharType="separate"/>
      </w:r>
      <w:r w:rsidR="00744A81">
        <w:rPr>
          <w:lang w:eastAsia="ja-JP"/>
        </w:rPr>
        <w:t>[1]</w:t>
      </w:r>
      <w:r w:rsidR="007B7782">
        <w:rPr>
          <w:lang w:eastAsia="ja-JP"/>
        </w:rPr>
        <w:fldChar w:fldCharType="end"/>
      </w:r>
      <w:r w:rsidR="000F2A0F">
        <w:rPr>
          <w:lang w:eastAsia="ja-JP"/>
        </w:rPr>
        <w:t xml:space="preserve">, the WID requires updating to provide more detail in each of the high level objectives. However, as noted above the TR contains quite </w:t>
      </w:r>
      <w:proofErr w:type="gramStart"/>
      <w:r w:rsidR="000F2A0F">
        <w:rPr>
          <w:lang w:eastAsia="ja-JP"/>
        </w:rPr>
        <w:t xml:space="preserve">a large </w:t>
      </w:r>
      <w:r w:rsidR="000F2A0F" w:rsidRPr="000F2A0F">
        <w:t>number of</w:t>
      </w:r>
      <w:proofErr w:type="gramEnd"/>
      <w:r w:rsidR="000F2A0F" w:rsidRPr="000F2A0F">
        <w:t xml:space="preserve"> recommendations on what should be further studied during the WI</w:t>
      </w:r>
      <w:r w:rsidR="000F2A0F">
        <w:t xml:space="preserve">. In our view, not all recommendations are vital for supporting operation in the band, hence it can be worthwhile to consider </w:t>
      </w:r>
      <w:proofErr w:type="spellStart"/>
      <w:r w:rsidR="000F2A0F">
        <w:t>downscoping</w:t>
      </w:r>
      <w:proofErr w:type="spellEnd"/>
      <w:r w:rsidR="000F2A0F">
        <w:t xml:space="preserve"> to enable completion of the WI in the allotted time. The following lists provide some detail on items </w:t>
      </w:r>
      <w:r w:rsidR="007B7782">
        <w:t xml:space="preserve">that were identified in TR 38.808 for further study and </w:t>
      </w:r>
      <w:r w:rsidR="000F2A0F">
        <w:t xml:space="preserve">that we view as </w:t>
      </w:r>
      <w:r w:rsidR="007B7782">
        <w:t xml:space="preserve">either </w:t>
      </w:r>
      <w:r w:rsidR="000F2A0F">
        <w:t xml:space="preserve">high priority to support </w:t>
      </w:r>
      <w:r w:rsidR="007B7782">
        <w:t xml:space="preserve">new larger </w:t>
      </w:r>
      <w:r w:rsidR="000F2A0F">
        <w:t xml:space="preserve">SCS </w:t>
      </w:r>
      <w:r w:rsidR="007B7782">
        <w:t xml:space="preserve">or as </w:t>
      </w:r>
      <w:r w:rsidR="000F2A0F">
        <w:t>lower priority.</w:t>
      </w:r>
    </w:p>
    <w:p w14:paraId="3CEAA2B0" w14:textId="77777777" w:rsidR="00805741" w:rsidRPr="00C87651" w:rsidRDefault="00805741" w:rsidP="00C87651">
      <w:pPr>
        <w:pStyle w:val="BodyText"/>
        <w:rPr>
          <w:u w:val="single"/>
        </w:rPr>
      </w:pPr>
      <w:r w:rsidRPr="00C87651">
        <w:rPr>
          <w:u w:val="single"/>
        </w:rPr>
        <w:t>High priority</w:t>
      </w:r>
    </w:p>
    <w:p w14:paraId="107019B3" w14:textId="77777777" w:rsidR="00805741" w:rsidRPr="00C87651" w:rsidRDefault="00805741" w:rsidP="00B06481">
      <w:pPr>
        <w:pStyle w:val="BodyText"/>
        <w:numPr>
          <w:ilvl w:val="0"/>
          <w:numId w:val="22"/>
        </w:numPr>
        <w:spacing w:after="0"/>
      </w:pPr>
      <w:r w:rsidRPr="00C87651">
        <w:t>SCS selection</w:t>
      </w:r>
    </w:p>
    <w:p w14:paraId="3796A0C0" w14:textId="574DE4CF" w:rsidR="00805741" w:rsidRPr="00C87651" w:rsidRDefault="00805741" w:rsidP="00B06481">
      <w:pPr>
        <w:pStyle w:val="BodyText"/>
        <w:numPr>
          <w:ilvl w:val="0"/>
          <w:numId w:val="22"/>
        </w:numPr>
        <w:spacing w:after="0"/>
      </w:pPr>
      <w:r w:rsidRPr="00C87651">
        <w:t xml:space="preserve">Timeline </w:t>
      </w:r>
      <w:r w:rsidR="000F2A0F">
        <w:t xml:space="preserve">and processing budget </w:t>
      </w:r>
      <w:r w:rsidRPr="00C87651">
        <w:t>aspects</w:t>
      </w:r>
    </w:p>
    <w:p w14:paraId="28A1AC7C" w14:textId="77777777" w:rsidR="00805741" w:rsidRPr="00C87651" w:rsidRDefault="00805741" w:rsidP="00B06481">
      <w:pPr>
        <w:pStyle w:val="BodyText"/>
        <w:numPr>
          <w:ilvl w:val="0"/>
          <w:numId w:val="22"/>
        </w:numPr>
        <w:spacing w:after="0"/>
      </w:pPr>
      <w:r w:rsidRPr="00C87651">
        <w:t>Multi-PUSCH/PDSCH scheduling with single DCI</w:t>
      </w:r>
    </w:p>
    <w:p w14:paraId="5D62D681" w14:textId="77777777" w:rsidR="00805741" w:rsidRPr="00C87651" w:rsidRDefault="00805741" w:rsidP="00B06481">
      <w:pPr>
        <w:pStyle w:val="BodyText"/>
        <w:numPr>
          <w:ilvl w:val="0"/>
          <w:numId w:val="22"/>
        </w:numPr>
        <w:spacing w:after="0"/>
      </w:pPr>
      <w:r w:rsidRPr="00C87651">
        <w:t>Enhancement of PF 0/1 to allow large Tx power</w:t>
      </w:r>
    </w:p>
    <w:p w14:paraId="33CBFB50" w14:textId="77777777" w:rsidR="00805741" w:rsidRPr="00C87651" w:rsidRDefault="00805741" w:rsidP="00C87651">
      <w:pPr>
        <w:pStyle w:val="BodyText"/>
      </w:pPr>
    </w:p>
    <w:p w14:paraId="33750DD8" w14:textId="77777777" w:rsidR="00805741" w:rsidRPr="00C87651" w:rsidRDefault="00805741" w:rsidP="00C87651">
      <w:pPr>
        <w:pStyle w:val="BodyText"/>
        <w:rPr>
          <w:u w:val="single"/>
        </w:rPr>
      </w:pPr>
      <w:r w:rsidRPr="00C87651">
        <w:rPr>
          <w:u w:val="single"/>
        </w:rPr>
        <w:t>Lower priority</w:t>
      </w:r>
    </w:p>
    <w:p w14:paraId="4A3AB5F9" w14:textId="688B381F" w:rsidR="00805741" w:rsidRPr="00C87651" w:rsidRDefault="00805741" w:rsidP="00B06481">
      <w:pPr>
        <w:pStyle w:val="BodyText"/>
        <w:numPr>
          <w:ilvl w:val="0"/>
          <w:numId w:val="23"/>
        </w:numPr>
        <w:spacing w:after="0"/>
      </w:pPr>
      <w:r w:rsidRPr="00C87651">
        <w:t>Interlaced PUSCH/PUCCH</w:t>
      </w:r>
    </w:p>
    <w:p w14:paraId="7FD1FC4A" w14:textId="27292F9E" w:rsidR="000F2A0F" w:rsidRDefault="000F2A0F" w:rsidP="00B06481">
      <w:pPr>
        <w:pStyle w:val="BodyText"/>
        <w:numPr>
          <w:ilvl w:val="1"/>
          <w:numId w:val="23"/>
        </w:numPr>
        <w:spacing w:after="0"/>
      </w:pPr>
      <w:r>
        <w:t xml:space="preserve">PRB-based interlacing is not beneficial, since for SCS </w:t>
      </w:r>
      <w:r>
        <w:rPr>
          <w:rFonts w:cs="Arial"/>
        </w:rPr>
        <w:t>≥</w:t>
      </w:r>
      <w:r>
        <w:t xml:space="preserve"> 120 kHz, one PRB already matches or exceeds the 1 MHz bandwidth on which PSD is measured, hence there is no gain from power boosting.</w:t>
      </w:r>
    </w:p>
    <w:p w14:paraId="72148C39" w14:textId="35D34CE2" w:rsidR="000F2A0F" w:rsidRDefault="000F2A0F" w:rsidP="00B06481">
      <w:pPr>
        <w:pStyle w:val="BodyText"/>
        <w:numPr>
          <w:ilvl w:val="1"/>
          <w:numId w:val="23"/>
        </w:numPr>
        <w:spacing w:after="0"/>
      </w:pPr>
      <w:r>
        <w:t xml:space="preserve">For the larger sub-carrier spacings, sub-PRB interlacing requires a sub-PRB unit of 1 or 2 REs to be defined. The spec impact </w:t>
      </w:r>
      <w:r w:rsidR="00AC3CF2">
        <w:t>to support such a definition when it comes to reference signal design and frequency domain resource allocation is prohibitive.</w:t>
      </w:r>
    </w:p>
    <w:p w14:paraId="2CA0F2E2" w14:textId="21A7AB31" w:rsidR="00805741" w:rsidRDefault="00805741" w:rsidP="00B06481">
      <w:pPr>
        <w:pStyle w:val="BodyText"/>
        <w:numPr>
          <w:ilvl w:val="0"/>
          <w:numId w:val="23"/>
        </w:numPr>
        <w:spacing w:after="0"/>
      </w:pPr>
      <w:r w:rsidRPr="00C87651">
        <w:t>Introduction of DRS window</w:t>
      </w:r>
    </w:p>
    <w:p w14:paraId="385F282E" w14:textId="5E24433E" w:rsidR="00AC3CF2" w:rsidRPr="00C87651" w:rsidRDefault="00AC3CF2" w:rsidP="00AC3CF2">
      <w:pPr>
        <w:pStyle w:val="BodyText"/>
        <w:numPr>
          <w:ilvl w:val="1"/>
          <w:numId w:val="23"/>
        </w:numPr>
        <w:spacing w:after="0"/>
      </w:pPr>
      <w:proofErr w:type="gramStart"/>
      <w:r>
        <w:t>Due to the fact that</w:t>
      </w:r>
      <w:proofErr w:type="gramEnd"/>
      <w:r>
        <w:t xml:space="preserve"> deferral due to LBT failure in the 52.6 – 71 GHz band is rare, and that ETSI BRAN allows a certain proportion of control signals to be transmitted without LBT, we see no benefit from optimizing SS/PBCH transmission opportunities for LBT failure. </w:t>
      </w:r>
    </w:p>
    <w:p w14:paraId="359292A8" w14:textId="65F0026B" w:rsidR="00805741" w:rsidRDefault="00805741" w:rsidP="00B06481">
      <w:pPr>
        <w:pStyle w:val="BodyText"/>
        <w:numPr>
          <w:ilvl w:val="0"/>
          <w:numId w:val="23"/>
        </w:numPr>
        <w:spacing w:after="0"/>
      </w:pPr>
      <w:r w:rsidRPr="00C87651">
        <w:t>Extensive changes to time domain RO configuration including LBT gap for consecutive PRACH occasions</w:t>
      </w:r>
    </w:p>
    <w:p w14:paraId="4399ABB2" w14:textId="42FC43AE" w:rsidR="00AC3CF2" w:rsidRPr="00C87651" w:rsidRDefault="00AC3CF2" w:rsidP="00AC3CF2">
      <w:pPr>
        <w:pStyle w:val="BodyText"/>
        <w:numPr>
          <w:ilvl w:val="1"/>
          <w:numId w:val="23"/>
        </w:numPr>
        <w:spacing w:after="0"/>
      </w:pPr>
      <w:r>
        <w:t>For the same reasons as discussed above for the DRS window, we see no benefit from optimizing PRACH occasion definition for LBT failure</w:t>
      </w:r>
    </w:p>
    <w:p w14:paraId="5311069B" w14:textId="62BD543C" w:rsidR="00805741" w:rsidRDefault="00805741" w:rsidP="00B06481">
      <w:pPr>
        <w:pStyle w:val="BodyText"/>
        <w:numPr>
          <w:ilvl w:val="0"/>
          <w:numId w:val="23"/>
        </w:numPr>
        <w:spacing w:after="0"/>
      </w:pPr>
      <w:r w:rsidRPr="00C87651">
        <w:t>Extensive enhancements to PTRS and DMRS</w:t>
      </w:r>
    </w:p>
    <w:p w14:paraId="14555C77" w14:textId="0728D467" w:rsidR="00AC3CF2" w:rsidRPr="00C87651" w:rsidRDefault="00AC3CF2" w:rsidP="00AC3CF2">
      <w:pPr>
        <w:pStyle w:val="BodyText"/>
        <w:numPr>
          <w:ilvl w:val="1"/>
          <w:numId w:val="23"/>
        </w:numPr>
        <w:spacing w:after="0"/>
      </w:pPr>
      <w:r>
        <w:t>Performance with Rel-15 PTRS and DMRS has been shown to be robust in most scenarios of interest, and the margin for improvement in others is small.</w:t>
      </w:r>
    </w:p>
    <w:p w14:paraId="4F373E67" w14:textId="44692A31" w:rsidR="00805741" w:rsidRDefault="00805741" w:rsidP="00B06481">
      <w:pPr>
        <w:pStyle w:val="BodyText"/>
        <w:numPr>
          <w:ilvl w:val="0"/>
          <w:numId w:val="23"/>
        </w:numPr>
        <w:spacing w:after="0"/>
      </w:pPr>
      <w:r w:rsidRPr="00C87651">
        <w:t>Deviations of LBT design from what is specified in BRAN</w:t>
      </w:r>
    </w:p>
    <w:p w14:paraId="11846B2D" w14:textId="47E52F83" w:rsidR="00AC3CF2" w:rsidRPr="00C87651" w:rsidRDefault="00AC3CF2" w:rsidP="00AC3CF2">
      <w:pPr>
        <w:pStyle w:val="BodyText"/>
        <w:numPr>
          <w:ilvl w:val="1"/>
          <w:numId w:val="23"/>
        </w:numPr>
        <w:spacing w:after="0"/>
      </w:pPr>
      <w:r>
        <w:t>We see no reason for 3GPP to adopt additional restrictions on channel access beyond what is specified in EN 302 567. Furthermore, for unlicensed operation in other regions outside of Europe, there is no regulatory requirement for LBT.</w:t>
      </w:r>
    </w:p>
    <w:p w14:paraId="1561C3F2" w14:textId="36600EAF" w:rsidR="00805741" w:rsidRDefault="00805741" w:rsidP="00B06481">
      <w:pPr>
        <w:pStyle w:val="BodyText"/>
        <w:numPr>
          <w:ilvl w:val="0"/>
          <w:numId w:val="23"/>
        </w:numPr>
        <w:spacing w:after="0"/>
      </w:pPr>
      <w:r w:rsidRPr="00C87651">
        <w:t>Receiver assisted LBT other than reuse of L1/L3 interference measurement tools from existing spec</w:t>
      </w:r>
    </w:p>
    <w:p w14:paraId="7F1BCBC7" w14:textId="7B5C1277" w:rsidR="00AC3CF2" w:rsidRPr="00C87651" w:rsidRDefault="00AC3CF2" w:rsidP="00930BE8">
      <w:pPr>
        <w:pStyle w:val="BodyText"/>
        <w:numPr>
          <w:ilvl w:val="1"/>
          <w:numId w:val="23"/>
        </w:numPr>
        <w:spacing w:after="0"/>
      </w:pPr>
      <w:r>
        <w:t xml:space="preserve">In the SI, potential gains from use of receiver assisted LBT have only been illustrated in corner cases, hence we do not see it as critical that extensive design effort is spent on adopting such a mechanism. Moreover, there </w:t>
      </w:r>
      <w:r w:rsidR="00930BE8">
        <w:t xml:space="preserve">are </w:t>
      </w:r>
      <w:r>
        <w:t>existing tools in the Rel-15/16</w:t>
      </w:r>
      <w:r w:rsidR="00930BE8">
        <w:t xml:space="preserve"> for L1 and L3 interference measurement and reporting which can fulfill the functional goals of receiver assisted LBT. Our view is that the current Rel-15/16 spec, with perhaps some small enhancements is </w:t>
      </w:r>
      <w:proofErr w:type="gramStart"/>
      <w:r w:rsidR="00930BE8">
        <w:t>sufficient</w:t>
      </w:r>
      <w:proofErr w:type="gramEnd"/>
      <w:r w:rsidR="00930BE8">
        <w:t>.</w:t>
      </w:r>
    </w:p>
    <w:p w14:paraId="62A6DC2D" w14:textId="755CD108" w:rsidR="00805741" w:rsidRPr="00C87651" w:rsidRDefault="00805741" w:rsidP="00B06481">
      <w:pPr>
        <w:pStyle w:val="BodyText"/>
        <w:numPr>
          <w:ilvl w:val="0"/>
          <w:numId w:val="23"/>
        </w:numPr>
        <w:spacing w:after="0"/>
      </w:pPr>
      <w:r w:rsidRPr="00C87651">
        <w:lastRenderedPageBreak/>
        <w:t>Some of the beam management enhancements, e.g., Coverage loss recovery for high SCS, A-CSI-RS for BFR, Random access beam management, Intra-inter cell mobility</w:t>
      </w:r>
    </w:p>
    <w:p w14:paraId="136DF0A7" w14:textId="39040C2C" w:rsidR="007B7782" w:rsidRPr="00C87651" w:rsidRDefault="00AC3CF2" w:rsidP="007B7782">
      <w:pPr>
        <w:pStyle w:val="BodyText"/>
        <w:numPr>
          <w:ilvl w:val="1"/>
          <w:numId w:val="23"/>
        </w:numPr>
        <w:spacing w:after="0"/>
      </w:pPr>
      <w:r>
        <w:t>Beam management</w:t>
      </w:r>
      <w:r w:rsidR="007B7782">
        <w:t xml:space="preserve"> is b</w:t>
      </w:r>
      <w:r w:rsidR="00805741" w:rsidRPr="00C87651">
        <w:t xml:space="preserve">etter suited for </w:t>
      </w:r>
      <w:r w:rsidR="007B7782">
        <w:t xml:space="preserve">the </w:t>
      </w:r>
      <w:r w:rsidR="00805741" w:rsidRPr="00C87651">
        <w:t>MIMO WI</w:t>
      </w:r>
      <w:r w:rsidR="007B7782">
        <w:t>. It has been argued that more beams will be used in the 52.6 – 71 GHz band compared to FR2; however, the current WID states that up to 64 beams are supported which is the same as the maximum defined for FR2.</w:t>
      </w:r>
    </w:p>
    <w:p w14:paraId="297E487A" w14:textId="62C8EEED" w:rsidR="00805741" w:rsidRPr="00C87651" w:rsidRDefault="00805741" w:rsidP="00B06481">
      <w:pPr>
        <w:pStyle w:val="BodyText"/>
        <w:numPr>
          <w:ilvl w:val="0"/>
          <w:numId w:val="23"/>
        </w:numPr>
        <w:spacing w:after="0"/>
      </w:pPr>
      <w:r w:rsidRPr="00C87651">
        <w:t>Coverage enhancements for SSB, PRACH, PDCCH</w:t>
      </w:r>
    </w:p>
    <w:p w14:paraId="5182E279" w14:textId="5E1CCA2E" w:rsidR="00805741" w:rsidRPr="00C87651" w:rsidRDefault="00805741" w:rsidP="00B06481">
      <w:pPr>
        <w:pStyle w:val="BodyText"/>
        <w:numPr>
          <w:ilvl w:val="1"/>
          <w:numId w:val="23"/>
        </w:numPr>
        <w:spacing w:after="0"/>
      </w:pPr>
      <w:r w:rsidRPr="00C87651">
        <w:t>Not ne</w:t>
      </w:r>
      <w:r w:rsidR="00AC3CF2">
        <w:t xml:space="preserve">eded (see discussion in Section </w:t>
      </w:r>
      <w:r w:rsidR="007B7782">
        <w:t>2.1)</w:t>
      </w:r>
    </w:p>
    <w:p w14:paraId="24648946" w14:textId="2A31A417" w:rsidR="00805741" w:rsidRPr="00C87651" w:rsidRDefault="00805741" w:rsidP="00B06481">
      <w:pPr>
        <w:pStyle w:val="BodyText"/>
        <w:numPr>
          <w:ilvl w:val="0"/>
          <w:numId w:val="23"/>
        </w:numPr>
        <w:spacing w:after="0"/>
      </w:pPr>
      <w:r w:rsidRPr="00C87651">
        <w:t>Spatial relationship of GC-PDCCH</w:t>
      </w:r>
    </w:p>
    <w:p w14:paraId="0970AE97" w14:textId="60DC5DC4" w:rsidR="00805741" w:rsidRPr="00C87651" w:rsidRDefault="007B7782" w:rsidP="00B06481">
      <w:pPr>
        <w:pStyle w:val="BodyText"/>
        <w:numPr>
          <w:ilvl w:val="1"/>
          <w:numId w:val="23"/>
        </w:numPr>
        <w:spacing w:after="0"/>
      </w:pPr>
      <w:r>
        <w:t>The scope/purpose of this item is not clear</w:t>
      </w:r>
    </w:p>
    <w:p w14:paraId="01F418F0" w14:textId="0C6D5362" w:rsidR="00805741" w:rsidRDefault="00805741" w:rsidP="00C87651">
      <w:pPr>
        <w:pStyle w:val="BodyText"/>
        <w:rPr>
          <w:rFonts w:asciiTheme="minorHAnsi" w:eastAsia="Batang" w:hAnsiTheme="minorHAnsi" w:cstheme="minorHAnsi"/>
          <w:b/>
          <w:bCs/>
          <w:lang w:eastAsia="zh-CN"/>
        </w:rPr>
      </w:pPr>
    </w:p>
    <w:p w14:paraId="733FCC6C" w14:textId="42A7823F" w:rsidR="007B7782" w:rsidRDefault="007B7782" w:rsidP="007B7782">
      <w:pPr>
        <w:pStyle w:val="BodyText"/>
        <w:rPr>
          <w:lang w:eastAsia="zh-CN"/>
        </w:rPr>
      </w:pPr>
      <w:r>
        <w:rPr>
          <w:lang w:eastAsia="zh-CN"/>
        </w:rPr>
        <w:t>Since the scope of the FFS items in TR38.808 is quite large, we propose that the WID contains 2 steps. The objectives can be listed as "Study, and if needed specify, potential enhancements to X …" as the first step. Then the second step, e.g., in RAN#91e, can be added which targets a decision on which enhancements are decided to specify. In this way the scope can be managed, and the WI has a better chance of completion on time.</w:t>
      </w:r>
    </w:p>
    <w:p w14:paraId="6EE5BA88" w14:textId="696D6381" w:rsidR="006E1C82" w:rsidRPr="004977A4" w:rsidRDefault="00771B0F" w:rsidP="00704935">
      <w:pPr>
        <w:pStyle w:val="Heading1"/>
        <w:numPr>
          <w:ilvl w:val="0"/>
          <w:numId w:val="0"/>
        </w:numPr>
        <w:ind w:left="360" w:hanging="360"/>
      </w:pPr>
      <w:r>
        <w:t>4</w:t>
      </w:r>
      <w:r w:rsidR="00EC4447" w:rsidRPr="00B873EF">
        <w:tab/>
      </w:r>
      <w:r w:rsidR="00C01F33" w:rsidRPr="00B873EF">
        <w:t>Conclusion</w:t>
      </w:r>
    </w:p>
    <w:p w14:paraId="726E97B2" w14:textId="6BA38B78" w:rsidR="00A6049E" w:rsidRDefault="00406001" w:rsidP="007B7782">
      <w:pPr>
        <w:pStyle w:val="BodyText"/>
        <w:rPr>
          <w:sz w:val="20"/>
          <w:lang w:eastAsia="zh-CN"/>
        </w:rPr>
      </w:pPr>
      <w:bookmarkStart w:id="25" w:name="_In-sequence_SDU_delivery"/>
      <w:bookmarkEnd w:id="25"/>
      <w:r>
        <w:rPr>
          <w:sz w:val="20"/>
          <w:lang w:eastAsia="zh-CN"/>
        </w:rPr>
        <w:t>In this paper we observe the following</w:t>
      </w:r>
    </w:p>
    <w:p w14:paraId="6E506EDF" w14:textId="77777777" w:rsidR="00930BE8" w:rsidRDefault="00406001">
      <w:pPr>
        <w:pStyle w:val="TOC1"/>
        <w:tabs>
          <w:tab w:val="left" w:pos="1701"/>
        </w:tabs>
        <w:rPr>
          <w:rFonts w:asciiTheme="minorHAnsi" w:eastAsiaTheme="minorEastAsia" w:hAnsiTheme="minorHAnsi" w:cstheme="minorBidi"/>
          <w:szCs w:val="22"/>
          <w:lang w:val="en-US" w:eastAsia="en-US"/>
        </w:rPr>
      </w:pPr>
      <w:r>
        <w:rPr>
          <w:sz w:val="20"/>
          <w:lang w:eastAsia="zh-CN"/>
        </w:rPr>
        <w:fldChar w:fldCharType="begin"/>
      </w:r>
      <w:r>
        <w:rPr>
          <w:sz w:val="20"/>
          <w:lang w:eastAsia="zh-CN"/>
        </w:rPr>
        <w:instrText xml:space="preserve"> TOC \n \t "Observation,1" </w:instrText>
      </w:r>
      <w:r>
        <w:rPr>
          <w:sz w:val="20"/>
          <w:lang w:eastAsia="zh-CN"/>
        </w:rPr>
        <w:fldChar w:fldCharType="separate"/>
      </w:r>
      <w:r w:rsidR="00930BE8" w:rsidRPr="000926C4">
        <w:rPr>
          <w:b/>
          <w:bCs/>
        </w:rPr>
        <w:t>Observation 1</w:t>
      </w:r>
      <w:r w:rsidR="00930BE8">
        <w:rPr>
          <w:rFonts w:asciiTheme="minorHAnsi" w:eastAsiaTheme="minorEastAsia" w:hAnsiTheme="minorHAnsi" w:cstheme="minorBidi"/>
          <w:szCs w:val="22"/>
          <w:lang w:val="en-US" w:eastAsia="en-US"/>
        </w:rPr>
        <w:tab/>
      </w:r>
      <w:r w:rsidR="00930BE8">
        <w:t>In addition to maximizing the range of deployment scenarios that can benefit from high data rates, we observe that 480 kHz + 1600 MHz maximum bandwidth is a suitable choice for the 52.6 – 71 GHz band including performance in the presence of phase noise, complexity per bit when accounting for FFT, FFT utilization, efficient use of spectrum in various regional allocations (e.g., China, IMT band in Europe), etc</w:t>
      </w:r>
      <w:r w:rsidR="00930BE8" w:rsidRPr="00CB34F5">
        <w:t>.</w:t>
      </w:r>
    </w:p>
    <w:p w14:paraId="641EC975" w14:textId="1EBA4425" w:rsidR="00406001" w:rsidRDefault="00406001" w:rsidP="00406001">
      <w:pPr>
        <w:pStyle w:val="BodyText"/>
        <w:tabs>
          <w:tab w:val="left" w:pos="1440"/>
        </w:tabs>
        <w:ind w:left="1440" w:hanging="1440"/>
        <w:rPr>
          <w:sz w:val="20"/>
          <w:lang w:eastAsia="zh-CN"/>
        </w:rPr>
      </w:pPr>
      <w:r>
        <w:rPr>
          <w:sz w:val="20"/>
          <w:lang w:eastAsia="zh-CN"/>
        </w:rPr>
        <w:fldChar w:fldCharType="end"/>
      </w:r>
    </w:p>
    <w:p w14:paraId="5422E119" w14:textId="38DE4D26" w:rsidR="00FD010A" w:rsidRDefault="007B7782" w:rsidP="007B7782">
      <w:pPr>
        <w:pStyle w:val="BodyText"/>
      </w:pPr>
      <w:r w:rsidRPr="007B7782">
        <w:t>Based</w:t>
      </w:r>
      <w:r>
        <w:t xml:space="preserve"> on the discussion in this paper we propose the following:</w:t>
      </w:r>
    </w:p>
    <w:p w14:paraId="6C5BB70E" w14:textId="77777777" w:rsidR="00930BE8" w:rsidRDefault="007B7782">
      <w:pPr>
        <w:pStyle w:val="TOC1"/>
        <w:tabs>
          <w:tab w:val="left" w:pos="1418"/>
        </w:tabs>
        <w:rPr>
          <w:rFonts w:asciiTheme="minorHAnsi" w:eastAsiaTheme="minorEastAsia" w:hAnsiTheme="minorHAnsi" w:cstheme="minorBidi"/>
          <w:szCs w:val="22"/>
          <w:lang w:val="en-US" w:eastAsia="en-US"/>
        </w:rPr>
      </w:pPr>
      <w:r w:rsidRPr="000926C4">
        <w:rPr>
          <w:rFonts w:ascii="Arial" w:hAnsi="Arial" w:cs="Arial"/>
        </w:rPr>
        <w:fldChar w:fldCharType="begin"/>
      </w:r>
      <w:r w:rsidRPr="00744A81">
        <w:rPr>
          <w:rFonts w:ascii="Arial" w:hAnsi="Arial" w:cs="Arial"/>
          <w:b/>
          <w:bCs/>
        </w:rPr>
        <w:instrText xml:space="preserve"> TOC \n \t "Proposal,1" </w:instrText>
      </w:r>
      <w:r w:rsidRPr="000926C4">
        <w:rPr>
          <w:rFonts w:ascii="Arial" w:hAnsi="Arial" w:cs="Arial"/>
        </w:rPr>
        <w:fldChar w:fldCharType="separate"/>
      </w:r>
      <w:r w:rsidR="00930BE8" w:rsidRPr="000926C4">
        <w:rPr>
          <w:b/>
          <w:bCs/>
        </w:rPr>
        <w:t>Proposal 1</w:t>
      </w:r>
      <w:r w:rsidR="00930BE8">
        <w:rPr>
          <w:rFonts w:asciiTheme="minorHAnsi" w:eastAsiaTheme="minorEastAsia" w:hAnsiTheme="minorHAnsi" w:cstheme="minorBidi"/>
          <w:szCs w:val="22"/>
          <w:lang w:val="en-US" w:eastAsia="en-US"/>
        </w:rPr>
        <w:tab/>
      </w:r>
      <w:r w:rsidR="00930BE8" w:rsidRPr="00B51586">
        <w:t>For initial access on a carrier in the 52.6 – 71 GHz band, support both 120 and 240 kHz SCS for SS/PBCH block, and 120 kHz SCS for RMSI (SIB1) delivery and RACH-related messages in an initial BWP (as in FR2).</w:t>
      </w:r>
    </w:p>
    <w:p w14:paraId="158A884D" w14:textId="4F43FC46" w:rsidR="00930BE8" w:rsidRDefault="00930BE8">
      <w:pPr>
        <w:pStyle w:val="TOC1"/>
        <w:tabs>
          <w:tab w:val="left" w:pos="1418"/>
        </w:tabs>
        <w:rPr>
          <w:rFonts w:asciiTheme="minorHAnsi" w:eastAsiaTheme="minorEastAsia" w:hAnsiTheme="minorHAnsi" w:cstheme="minorBidi"/>
          <w:szCs w:val="22"/>
          <w:lang w:val="en-US" w:eastAsia="en-US"/>
        </w:rPr>
      </w:pPr>
      <w:r w:rsidRPr="000926C4">
        <w:rPr>
          <w:b/>
          <w:bCs/>
        </w:rPr>
        <w:t>Proposal 2</w:t>
      </w:r>
      <w:r>
        <w:rPr>
          <w:rFonts w:asciiTheme="minorHAnsi" w:eastAsiaTheme="minorEastAsia" w:hAnsiTheme="minorHAnsi" w:cstheme="minorBidi"/>
          <w:szCs w:val="22"/>
          <w:lang w:val="en-US" w:eastAsia="en-US"/>
        </w:rPr>
        <w:tab/>
      </w:r>
      <w:r>
        <w:t>For operation in the 52.6 – 71 GHz band, support 120 and 480 kHz SCS for data (PDSCH, PUSCH), control (PDCCH, PUCCH), and reference signals.</w:t>
      </w:r>
      <w:bookmarkStart w:id="26" w:name="_GoBack"/>
      <w:bookmarkEnd w:id="26"/>
    </w:p>
    <w:p w14:paraId="7E9BC151" w14:textId="77777777" w:rsidR="00930BE8" w:rsidRDefault="00930BE8">
      <w:pPr>
        <w:pStyle w:val="TOC1"/>
        <w:tabs>
          <w:tab w:val="left" w:pos="1418"/>
        </w:tabs>
        <w:rPr>
          <w:rFonts w:asciiTheme="minorHAnsi" w:eastAsiaTheme="minorEastAsia" w:hAnsiTheme="minorHAnsi" w:cstheme="minorBidi"/>
          <w:szCs w:val="22"/>
          <w:lang w:val="en-US" w:eastAsia="en-US"/>
        </w:rPr>
      </w:pPr>
      <w:r w:rsidRPr="000926C4">
        <w:rPr>
          <w:b/>
          <w:bCs/>
        </w:rPr>
        <w:t>Proposal 3</w:t>
      </w:r>
      <w:r>
        <w:rPr>
          <w:rFonts w:asciiTheme="minorHAnsi" w:eastAsiaTheme="minorEastAsia" w:hAnsiTheme="minorHAnsi" w:cstheme="minorBidi"/>
          <w:szCs w:val="22"/>
          <w:lang w:val="en-US" w:eastAsia="en-US"/>
        </w:rPr>
        <w:tab/>
      </w:r>
      <w:r w:rsidRPr="00B51586">
        <w:t>For operation in the 52.6 – 71 GHz band, do not support ECP.</w:t>
      </w:r>
    </w:p>
    <w:p w14:paraId="7FD3CBB4" w14:textId="38544E57" w:rsidR="007B7782" w:rsidRDefault="007B7782" w:rsidP="00406001">
      <w:pPr>
        <w:pStyle w:val="BodyText"/>
        <w:ind w:left="1350" w:hanging="1350"/>
        <w:rPr>
          <w:rFonts w:cs="Arial"/>
        </w:rPr>
      </w:pPr>
      <w:r w:rsidRPr="000926C4">
        <w:rPr>
          <w:rFonts w:cs="Arial"/>
        </w:rPr>
        <w:fldChar w:fldCharType="end"/>
      </w:r>
    </w:p>
    <w:p w14:paraId="52F1AFDE" w14:textId="77777777" w:rsidR="00F507D1" w:rsidRPr="00B873EF" w:rsidRDefault="00EC4447" w:rsidP="00704935">
      <w:pPr>
        <w:pStyle w:val="Heading1"/>
        <w:numPr>
          <w:ilvl w:val="0"/>
          <w:numId w:val="0"/>
        </w:numPr>
        <w:ind w:left="360" w:hanging="360"/>
      </w:pPr>
      <w:r w:rsidRPr="00B873EF">
        <w:t>5</w:t>
      </w:r>
      <w:r w:rsidRPr="00B873EF">
        <w:tab/>
      </w:r>
      <w:r w:rsidR="00F507D1" w:rsidRPr="00B873EF">
        <w:t>References</w:t>
      </w:r>
    </w:p>
    <w:p w14:paraId="4107B435" w14:textId="44AC6326" w:rsidR="0051625D" w:rsidRPr="00C56D2B" w:rsidRDefault="0051625D" w:rsidP="00CE0424">
      <w:pPr>
        <w:pStyle w:val="Reference"/>
        <w:rPr>
          <w:rFonts w:eastAsia="Batang" w:cs="Arial"/>
          <w:lang w:eastAsia="zh-CN"/>
        </w:rPr>
      </w:pPr>
      <w:bookmarkStart w:id="27" w:name="_Ref56771483"/>
      <w:bookmarkStart w:id="28" w:name="_Ref174151459"/>
      <w:bookmarkStart w:id="29" w:name="_Ref189809556"/>
      <w:bookmarkStart w:id="30" w:name="_Ref43738028"/>
      <w:r w:rsidRPr="00C56D2B">
        <w:rPr>
          <w:rFonts w:eastAsia="Batang" w:cs="Arial"/>
          <w:lang w:eastAsia="zh-CN"/>
        </w:rPr>
        <w:t>R1-2009849, "Draft TR 38.808 v020: Study on supporting NR from 52.6 GHz to 71 GHz," Intel, RAN1#103-e, November 2020.</w:t>
      </w:r>
      <w:bookmarkEnd w:id="27"/>
    </w:p>
    <w:p w14:paraId="28DE17BA" w14:textId="3B532F86" w:rsidR="0051625D" w:rsidRPr="00C56D2B" w:rsidRDefault="0051625D" w:rsidP="00CE0424">
      <w:pPr>
        <w:pStyle w:val="Reference"/>
        <w:rPr>
          <w:rFonts w:eastAsia="Batang" w:cs="Arial"/>
          <w:lang w:eastAsia="zh-CN"/>
        </w:rPr>
      </w:pPr>
      <w:r w:rsidRPr="00C56D2B">
        <w:rPr>
          <w:rFonts w:eastAsia="Batang" w:cs="Arial"/>
          <w:lang w:eastAsia="zh-CN"/>
        </w:rPr>
        <w:t>RP-193229, "New WID on Extending current NR operation to 71 GHz," Qualcomm, RAN#86, December 2019.</w:t>
      </w:r>
      <w:bookmarkEnd w:id="28"/>
      <w:bookmarkEnd w:id="29"/>
      <w:bookmarkEnd w:id="30"/>
    </w:p>
    <w:p w14:paraId="0153087E" w14:textId="4FA90068" w:rsidR="00DE389A" w:rsidRPr="00C56D2B" w:rsidRDefault="00DE389A" w:rsidP="00CE0424">
      <w:pPr>
        <w:pStyle w:val="Reference"/>
        <w:rPr>
          <w:rFonts w:eastAsia="Batang" w:cs="Arial"/>
          <w:lang w:eastAsia="zh-CN"/>
        </w:rPr>
      </w:pPr>
      <w:bookmarkStart w:id="31" w:name="_Ref57122125"/>
      <w:r w:rsidRPr="00C56D2B">
        <w:rPr>
          <w:rFonts w:eastAsia="Batang" w:cs="Arial"/>
          <w:lang w:eastAsia="zh-CN"/>
        </w:rPr>
        <w:t>R1-2007982, "On NR operations in 52.6 to 71 GHz," Ericsson, RAN1#103-e, November 2020.</w:t>
      </w:r>
      <w:bookmarkEnd w:id="31"/>
    </w:p>
    <w:sectPr w:rsidR="00DE389A" w:rsidRPr="00C56D2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74E2" w14:textId="77777777" w:rsidR="00804444" w:rsidRDefault="00804444">
      <w:r>
        <w:separator/>
      </w:r>
    </w:p>
  </w:endnote>
  <w:endnote w:type="continuationSeparator" w:id="0">
    <w:p w14:paraId="78F33160" w14:textId="77777777" w:rsidR="00804444" w:rsidRDefault="00804444">
      <w:r>
        <w:continuationSeparator/>
      </w:r>
    </w:p>
  </w:endnote>
  <w:endnote w:type="continuationNotice" w:id="1">
    <w:p w14:paraId="162C5D15" w14:textId="77777777" w:rsidR="00804444" w:rsidRDefault="00804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5F3C1" w14:textId="77777777" w:rsidR="00804444" w:rsidRDefault="00804444">
      <w:r>
        <w:separator/>
      </w:r>
    </w:p>
  </w:footnote>
  <w:footnote w:type="continuationSeparator" w:id="0">
    <w:p w14:paraId="7F1A547F" w14:textId="77777777" w:rsidR="00804444" w:rsidRDefault="00804444">
      <w:r>
        <w:continuationSeparator/>
      </w:r>
    </w:p>
  </w:footnote>
  <w:footnote w:type="continuationNotice" w:id="1">
    <w:p w14:paraId="1E99D78F" w14:textId="77777777" w:rsidR="00804444" w:rsidRDefault="00804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22993"/>
    <w:multiLevelType w:val="hybridMultilevel"/>
    <w:tmpl w:val="37F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C0EF2"/>
    <w:multiLevelType w:val="hybridMultilevel"/>
    <w:tmpl w:val="1D94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46ECA"/>
    <w:multiLevelType w:val="hybridMultilevel"/>
    <w:tmpl w:val="12A0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910CD"/>
    <w:multiLevelType w:val="hybridMultilevel"/>
    <w:tmpl w:val="619E6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246907"/>
    <w:multiLevelType w:val="hybridMultilevel"/>
    <w:tmpl w:val="15EEB066"/>
    <w:lvl w:ilvl="0" w:tplc="B956A2E4">
      <w:start w:val="1"/>
      <w:numFmt w:val="bullet"/>
      <w:lvlText w:val=""/>
      <w:lvlJc w:val="left"/>
      <w:pPr>
        <w:tabs>
          <w:tab w:val="num" w:pos="720"/>
        </w:tabs>
        <w:ind w:left="720" w:hanging="360"/>
      </w:pPr>
      <w:rPr>
        <w:rFonts w:ascii="Symbol" w:hAnsi="Symbol" w:hint="default"/>
      </w:rPr>
    </w:lvl>
    <w:lvl w:ilvl="1" w:tplc="AECA2742" w:tentative="1">
      <w:start w:val="1"/>
      <w:numFmt w:val="bullet"/>
      <w:lvlText w:val=""/>
      <w:lvlJc w:val="left"/>
      <w:pPr>
        <w:tabs>
          <w:tab w:val="num" w:pos="1440"/>
        </w:tabs>
        <w:ind w:left="1440" w:hanging="360"/>
      </w:pPr>
      <w:rPr>
        <w:rFonts w:ascii="Symbol" w:hAnsi="Symbol" w:hint="default"/>
      </w:rPr>
    </w:lvl>
    <w:lvl w:ilvl="2" w:tplc="5E3C8D1A" w:tentative="1">
      <w:start w:val="1"/>
      <w:numFmt w:val="bullet"/>
      <w:lvlText w:val=""/>
      <w:lvlJc w:val="left"/>
      <w:pPr>
        <w:tabs>
          <w:tab w:val="num" w:pos="2160"/>
        </w:tabs>
        <w:ind w:left="2160" w:hanging="360"/>
      </w:pPr>
      <w:rPr>
        <w:rFonts w:ascii="Symbol" w:hAnsi="Symbol" w:hint="default"/>
      </w:rPr>
    </w:lvl>
    <w:lvl w:ilvl="3" w:tplc="BE7E5BBA" w:tentative="1">
      <w:start w:val="1"/>
      <w:numFmt w:val="bullet"/>
      <w:lvlText w:val=""/>
      <w:lvlJc w:val="left"/>
      <w:pPr>
        <w:tabs>
          <w:tab w:val="num" w:pos="2880"/>
        </w:tabs>
        <w:ind w:left="2880" w:hanging="360"/>
      </w:pPr>
      <w:rPr>
        <w:rFonts w:ascii="Symbol" w:hAnsi="Symbol" w:hint="default"/>
      </w:rPr>
    </w:lvl>
    <w:lvl w:ilvl="4" w:tplc="415CD704" w:tentative="1">
      <w:start w:val="1"/>
      <w:numFmt w:val="bullet"/>
      <w:lvlText w:val=""/>
      <w:lvlJc w:val="left"/>
      <w:pPr>
        <w:tabs>
          <w:tab w:val="num" w:pos="3600"/>
        </w:tabs>
        <w:ind w:left="3600" w:hanging="360"/>
      </w:pPr>
      <w:rPr>
        <w:rFonts w:ascii="Symbol" w:hAnsi="Symbol" w:hint="default"/>
      </w:rPr>
    </w:lvl>
    <w:lvl w:ilvl="5" w:tplc="62C8F930" w:tentative="1">
      <w:start w:val="1"/>
      <w:numFmt w:val="bullet"/>
      <w:lvlText w:val=""/>
      <w:lvlJc w:val="left"/>
      <w:pPr>
        <w:tabs>
          <w:tab w:val="num" w:pos="4320"/>
        </w:tabs>
        <w:ind w:left="4320" w:hanging="360"/>
      </w:pPr>
      <w:rPr>
        <w:rFonts w:ascii="Symbol" w:hAnsi="Symbol" w:hint="default"/>
      </w:rPr>
    </w:lvl>
    <w:lvl w:ilvl="6" w:tplc="2D96240A" w:tentative="1">
      <w:start w:val="1"/>
      <w:numFmt w:val="bullet"/>
      <w:lvlText w:val=""/>
      <w:lvlJc w:val="left"/>
      <w:pPr>
        <w:tabs>
          <w:tab w:val="num" w:pos="5040"/>
        </w:tabs>
        <w:ind w:left="5040" w:hanging="360"/>
      </w:pPr>
      <w:rPr>
        <w:rFonts w:ascii="Symbol" w:hAnsi="Symbol" w:hint="default"/>
      </w:rPr>
    </w:lvl>
    <w:lvl w:ilvl="7" w:tplc="D6A05428" w:tentative="1">
      <w:start w:val="1"/>
      <w:numFmt w:val="bullet"/>
      <w:lvlText w:val=""/>
      <w:lvlJc w:val="left"/>
      <w:pPr>
        <w:tabs>
          <w:tab w:val="num" w:pos="5760"/>
        </w:tabs>
        <w:ind w:left="5760" w:hanging="360"/>
      </w:pPr>
      <w:rPr>
        <w:rFonts w:ascii="Symbol" w:hAnsi="Symbol" w:hint="default"/>
      </w:rPr>
    </w:lvl>
    <w:lvl w:ilvl="8" w:tplc="E304D46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D6149C"/>
    <w:multiLevelType w:val="hybridMultilevel"/>
    <w:tmpl w:val="978C7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851284"/>
    <w:multiLevelType w:val="hybridMultilevel"/>
    <w:tmpl w:val="2940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FE110A"/>
    <w:multiLevelType w:val="hybridMultilevel"/>
    <w:tmpl w:val="9A74D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B092668C"/>
    <w:lvl w:ilvl="0" w:tplc="D19E1AC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582894"/>
    <w:multiLevelType w:val="hybridMultilevel"/>
    <w:tmpl w:val="C4FED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152DE"/>
    <w:multiLevelType w:val="hybridMultilevel"/>
    <w:tmpl w:val="C066A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70D4C"/>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B4555"/>
    <w:multiLevelType w:val="hybridMultilevel"/>
    <w:tmpl w:val="39561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720971E"/>
    <w:lvl w:ilvl="0" w:tplc="901E4CC4">
      <w:start w:val="1"/>
      <w:numFmt w:val="decimal"/>
      <w:pStyle w:val="Observation"/>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1D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853813"/>
    <w:multiLevelType w:val="hybridMultilevel"/>
    <w:tmpl w:val="F1B41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0B4"/>
    <w:multiLevelType w:val="hybridMultilevel"/>
    <w:tmpl w:val="484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52035A"/>
    <w:multiLevelType w:val="multilevel"/>
    <w:tmpl w:val="05BE936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3"/>
  </w:num>
  <w:num w:numId="3">
    <w:abstractNumId w:val="0"/>
  </w:num>
  <w:num w:numId="4">
    <w:abstractNumId w:val="19"/>
  </w:num>
  <w:num w:numId="5">
    <w:abstractNumId w:val="20"/>
  </w:num>
  <w:num w:numId="6">
    <w:abstractNumId w:val="23"/>
  </w:num>
  <w:num w:numId="7">
    <w:abstractNumId w:val="6"/>
  </w:num>
  <w:num w:numId="8">
    <w:abstractNumId w:val="8"/>
  </w:num>
  <w:num w:numId="9">
    <w:abstractNumId w:val="3"/>
  </w:num>
  <w:num w:numId="10">
    <w:abstractNumId w:val="27"/>
  </w:num>
  <w:num w:numId="11">
    <w:abstractNumId w:val="11"/>
  </w:num>
  <w:num w:numId="12">
    <w:abstractNumId w:val="26"/>
  </w:num>
  <w:num w:numId="13">
    <w:abstractNumId w:val="21"/>
  </w:num>
  <w:num w:numId="14">
    <w:abstractNumId w:val="18"/>
  </w:num>
  <w:num w:numId="15">
    <w:abstractNumId w:val="22"/>
  </w:num>
  <w:num w:numId="16">
    <w:abstractNumId w:val="14"/>
  </w:num>
  <w:num w:numId="17">
    <w:abstractNumId w:val="9"/>
  </w:num>
  <w:num w:numId="18">
    <w:abstractNumId w:val="2"/>
  </w:num>
  <w:num w:numId="19">
    <w:abstractNumId w:val="4"/>
  </w:num>
  <w:num w:numId="20">
    <w:abstractNumId w:val="7"/>
  </w:num>
  <w:num w:numId="21">
    <w:abstractNumId w:val="1"/>
  </w:num>
  <w:num w:numId="22">
    <w:abstractNumId w:val="12"/>
  </w:num>
  <w:num w:numId="23">
    <w:abstractNumId w:val="5"/>
  </w:num>
  <w:num w:numId="24">
    <w:abstractNumId w:val="15"/>
  </w:num>
  <w:num w:numId="25">
    <w:abstractNumId w:val="10"/>
  </w:num>
  <w:num w:numId="26">
    <w:abstractNumId w:val="13"/>
    <w:lvlOverride w:ilvl="0">
      <w:startOverride w:val="4"/>
    </w:lvlOverride>
  </w:num>
  <w:num w:numId="27">
    <w:abstractNumId w:val="16"/>
  </w:num>
  <w:num w:numId="28">
    <w:abstractNumId w:val="25"/>
  </w:num>
  <w:num w:numId="2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B9"/>
    <w:rsid w:val="000006E1"/>
    <w:rsid w:val="00002A37"/>
    <w:rsid w:val="00002FD4"/>
    <w:rsid w:val="00003208"/>
    <w:rsid w:val="00004B6A"/>
    <w:rsid w:val="0000564C"/>
    <w:rsid w:val="00006446"/>
    <w:rsid w:val="00006896"/>
    <w:rsid w:val="00006B6C"/>
    <w:rsid w:val="0000727D"/>
    <w:rsid w:val="00007CDC"/>
    <w:rsid w:val="00011B28"/>
    <w:rsid w:val="000148EA"/>
    <w:rsid w:val="00015D15"/>
    <w:rsid w:val="00017A2C"/>
    <w:rsid w:val="00017D1E"/>
    <w:rsid w:val="0002283C"/>
    <w:rsid w:val="0002403B"/>
    <w:rsid w:val="00024BBA"/>
    <w:rsid w:val="0002564D"/>
    <w:rsid w:val="00025ECA"/>
    <w:rsid w:val="000304F3"/>
    <w:rsid w:val="0003212D"/>
    <w:rsid w:val="000325B8"/>
    <w:rsid w:val="00033D53"/>
    <w:rsid w:val="00033F23"/>
    <w:rsid w:val="00034C15"/>
    <w:rsid w:val="00036BA1"/>
    <w:rsid w:val="00037CDD"/>
    <w:rsid w:val="00040391"/>
    <w:rsid w:val="00040EC9"/>
    <w:rsid w:val="000422E2"/>
    <w:rsid w:val="000424EE"/>
    <w:rsid w:val="00042F22"/>
    <w:rsid w:val="000444EF"/>
    <w:rsid w:val="0004520C"/>
    <w:rsid w:val="00051C0F"/>
    <w:rsid w:val="00052A07"/>
    <w:rsid w:val="000534E3"/>
    <w:rsid w:val="0005606A"/>
    <w:rsid w:val="00057117"/>
    <w:rsid w:val="0005753C"/>
    <w:rsid w:val="0005797F"/>
    <w:rsid w:val="00060492"/>
    <w:rsid w:val="00060FEF"/>
    <w:rsid w:val="000616E7"/>
    <w:rsid w:val="00063D3F"/>
    <w:rsid w:val="0006487E"/>
    <w:rsid w:val="00065E1A"/>
    <w:rsid w:val="00072C50"/>
    <w:rsid w:val="0007388F"/>
    <w:rsid w:val="00077E5F"/>
    <w:rsid w:val="0008036A"/>
    <w:rsid w:val="00081AE6"/>
    <w:rsid w:val="000855EB"/>
    <w:rsid w:val="00085B52"/>
    <w:rsid w:val="000866F2"/>
    <w:rsid w:val="0009009F"/>
    <w:rsid w:val="00091557"/>
    <w:rsid w:val="000920A3"/>
    <w:rsid w:val="000924C1"/>
    <w:rsid w:val="000924F0"/>
    <w:rsid w:val="000926C4"/>
    <w:rsid w:val="00093474"/>
    <w:rsid w:val="00094E75"/>
    <w:rsid w:val="0009510F"/>
    <w:rsid w:val="000A1B7B"/>
    <w:rsid w:val="000A3377"/>
    <w:rsid w:val="000A4135"/>
    <w:rsid w:val="000A56F2"/>
    <w:rsid w:val="000B2719"/>
    <w:rsid w:val="000B3A8F"/>
    <w:rsid w:val="000B4AB9"/>
    <w:rsid w:val="000B5180"/>
    <w:rsid w:val="000B58C3"/>
    <w:rsid w:val="000B61E9"/>
    <w:rsid w:val="000B6EF0"/>
    <w:rsid w:val="000B6F3B"/>
    <w:rsid w:val="000C165A"/>
    <w:rsid w:val="000C2129"/>
    <w:rsid w:val="000C2622"/>
    <w:rsid w:val="000C2E19"/>
    <w:rsid w:val="000C4817"/>
    <w:rsid w:val="000C577F"/>
    <w:rsid w:val="000C64F9"/>
    <w:rsid w:val="000D0A73"/>
    <w:rsid w:val="000D0D07"/>
    <w:rsid w:val="000D2073"/>
    <w:rsid w:val="000D21E8"/>
    <w:rsid w:val="000D29DC"/>
    <w:rsid w:val="000D4797"/>
    <w:rsid w:val="000D4B79"/>
    <w:rsid w:val="000D6EDE"/>
    <w:rsid w:val="000E0527"/>
    <w:rsid w:val="000E1E92"/>
    <w:rsid w:val="000E21A5"/>
    <w:rsid w:val="000E325C"/>
    <w:rsid w:val="000E4903"/>
    <w:rsid w:val="000E5B24"/>
    <w:rsid w:val="000E675B"/>
    <w:rsid w:val="000F06D6"/>
    <w:rsid w:val="000F0EB1"/>
    <w:rsid w:val="000F1106"/>
    <w:rsid w:val="000F2A0F"/>
    <w:rsid w:val="000F3BE9"/>
    <w:rsid w:val="000F3F6C"/>
    <w:rsid w:val="000F5AA6"/>
    <w:rsid w:val="000F6DF3"/>
    <w:rsid w:val="001005FF"/>
    <w:rsid w:val="00100F4C"/>
    <w:rsid w:val="0010155E"/>
    <w:rsid w:val="00101AFB"/>
    <w:rsid w:val="001062FB"/>
    <w:rsid w:val="001063E6"/>
    <w:rsid w:val="00111EE1"/>
    <w:rsid w:val="00113CF4"/>
    <w:rsid w:val="001152CD"/>
    <w:rsid w:val="001153EA"/>
    <w:rsid w:val="00115643"/>
    <w:rsid w:val="00116765"/>
    <w:rsid w:val="001219F5"/>
    <w:rsid w:val="00121A20"/>
    <w:rsid w:val="001230A8"/>
    <w:rsid w:val="0012377F"/>
    <w:rsid w:val="00124314"/>
    <w:rsid w:val="00126758"/>
    <w:rsid w:val="00126B4A"/>
    <w:rsid w:val="00126D5E"/>
    <w:rsid w:val="00131B81"/>
    <w:rsid w:val="00132580"/>
    <w:rsid w:val="00132FD0"/>
    <w:rsid w:val="001344C0"/>
    <w:rsid w:val="001346FA"/>
    <w:rsid w:val="00135252"/>
    <w:rsid w:val="00137AB5"/>
    <w:rsid w:val="00137F0B"/>
    <w:rsid w:val="00151E23"/>
    <w:rsid w:val="001526E0"/>
    <w:rsid w:val="00152EBE"/>
    <w:rsid w:val="001536E3"/>
    <w:rsid w:val="00153BB7"/>
    <w:rsid w:val="001551B5"/>
    <w:rsid w:val="001612FA"/>
    <w:rsid w:val="0016233D"/>
    <w:rsid w:val="001655BE"/>
    <w:rsid w:val="001659C1"/>
    <w:rsid w:val="00165E4D"/>
    <w:rsid w:val="001667E7"/>
    <w:rsid w:val="00166B1B"/>
    <w:rsid w:val="00167C6A"/>
    <w:rsid w:val="001715D9"/>
    <w:rsid w:val="00171756"/>
    <w:rsid w:val="00172B98"/>
    <w:rsid w:val="001732A2"/>
    <w:rsid w:val="00173A8E"/>
    <w:rsid w:val="0017502C"/>
    <w:rsid w:val="0018143F"/>
    <w:rsid w:val="00181FF8"/>
    <w:rsid w:val="001844D1"/>
    <w:rsid w:val="00190AC1"/>
    <w:rsid w:val="001916F3"/>
    <w:rsid w:val="0019341A"/>
    <w:rsid w:val="00194D15"/>
    <w:rsid w:val="00197DF9"/>
    <w:rsid w:val="001A0FC7"/>
    <w:rsid w:val="001A1987"/>
    <w:rsid w:val="001A2564"/>
    <w:rsid w:val="001A2DD2"/>
    <w:rsid w:val="001A38A4"/>
    <w:rsid w:val="001A5201"/>
    <w:rsid w:val="001A6173"/>
    <w:rsid w:val="001A6CBA"/>
    <w:rsid w:val="001B0D97"/>
    <w:rsid w:val="001B10B1"/>
    <w:rsid w:val="001B3BC6"/>
    <w:rsid w:val="001B5A5D"/>
    <w:rsid w:val="001C1CE5"/>
    <w:rsid w:val="001C31CB"/>
    <w:rsid w:val="001C3D2A"/>
    <w:rsid w:val="001C404D"/>
    <w:rsid w:val="001D51BA"/>
    <w:rsid w:val="001D53E7"/>
    <w:rsid w:val="001D59B2"/>
    <w:rsid w:val="001D6342"/>
    <w:rsid w:val="001D6D53"/>
    <w:rsid w:val="001E1FF2"/>
    <w:rsid w:val="001E2AE8"/>
    <w:rsid w:val="001E5565"/>
    <w:rsid w:val="001E58E2"/>
    <w:rsid w:val="001E717F"/>
    <w:rsid w:val="001E7511"/>
    <w:rsid w:val="001E7AED"/>
    <w:rsid w:val="001F1691"/>
    <w:rsid w:val="001F1D8F"/>
    <w:rsid w:val="001F3916"/>
    <w:rsid w:val="001F52A4"/>
    <w:rsid w:val="001F54C5"/>
    <w:rsid w:val="001F662C"/>
    <w:rsid w:val="001F7074"/>
    <w:rsid w:val="00200490"/>
    <w:rsid w:val="00201F3A"/>
    <w:rsid w:val="00203F96"/>
    <w:rsid w:val="002059A0"/>
    <w:rsid w:val="002069B2"/>
    <w:rsid w:val="00207FA3"/>
    <w:rsid w:val="00214DA8"/>
    <w:rsid w:val="00215423"/>
    <w:rsid w:val="002158FA"/>
    <w:rsid w:val="00217301"/>
    <w:rsid w:val="002173D3"/>
    <w:rsid w:val="00220219"/>
    <w:rsid w:val="00220600"/>
    <w:rsid w:val="002224DB"/>
    <w:rsid w:val="00223FCB"/>
    <w:rsid w:val="002252C3"/>
    <w:rsid w:val="00225C54"/>
    <w:rsid w:val="002263F4"/>
    <w:rsid w:val="00230765"/>
    <w:rsid w:val="00230CC5"/>
    <w:rsid w:val="00230D18"/>
    <w:rsid w:val="00231428"/>
    <w:rsid w:val="002319E4"/>
    <w:rsid w:val="00231E46"/>
    <w:rsid w:val="00233D89"/>
    <w:rsid w:val="00235632"/>
    <w:rsid w:val="00235872"/>
    <w:rsid w:val="00240E2C"/>
    <w:rsid w:val="00241559"/>
    <w:rsid w:val="002435B3"/>
    <w:rsid w:val="002458EB"/>
    <w:rsid w:val="002500C8"/>
    <w:rsid w:val="00255469"/>
    <w:rsid w:val="00256B73"/>
    <w:rsid w:val="00257347"/>
    <w:rsid w:val="00257461"/>
    <w:rsid w:val="00257543"/>
    <w:rsid w:val="002605CE"/>
    <w:rsid w:val="002617E7"/>
    <w:rsid w:val="0026269A"/>
    <w:rsid w:val="00264228"/>
    <w:rsid w:val="00264334"/>
    <w:rsid w:val="0026473E"/>
    <w:rsid w:val="00264F16"/>
    <w:rsid w:val="00266214"/>
    <w:rsid w:val="0026739D"/>
    <w:rsid w:val="00267C83"/>
    <w:rsid w:val="0027144F"/>
    <w:rsid w:val="00271813"/>
    <w:rsid w:val="00271F3A"/>
    <w:rsid w:val="002724E2"/>
    <w:rsid w:val="00273278"/>
    <w:rsid w:val="002737F4"/>
    <w:rsid w:val="002776E2"/>
    <w:rsid w:val="00277D15"/>
    <w:rsid w:val="002805F5"/>
    <w:rsid w:val="00280751"/>
    <w:rsid w:val="0028099D"/>
    <w:rsid w:val="0028280A"/>
    <w:rsid w:val="002830F0"/>
    <w:rsid w:val="0028429C"/>
    <w:rsid w:val="00285FB7"/>
    <w:rsid w:val="002866F1"/>
    <w:rsid w:val="00286ACD"/>
    <w:rsid w:val="00286BE8"/>
    <w:rsid w:val="00287838"/>
    <w:rsid w:val="002907B5"/>
    <w:rsid w:val="00292141"/>
    <w:rsid w:val="00292EB7"/>
    <w:rsid w:val="00294DD7"/>
    <w:rsid w:val="00296227"/>
    <w:rsid w:val="00296F44"/>
    <w:rsid w:val="00297662"/>
    <w:rsid w:val="0029777D"/>
    <w:rsid w:val="00297F22"/>
    <w:rsid w:val="002A055E"/>
    <w:rsid w:val="002A1D4E"/>
    <w:rsid w:val="002A2869"/>
    <w:rsid w:val="002A4380"/>
    <w:rsid w:val="002B0887"/>
    <w:rsid w:val="002B20DF"/>
    <w:rsid w:val="002B24D6"/>
    <w:rsid w:val="002B766C"/>
    <w:rsid w:val="002C06AD"/>
    <w:rsid w:val="002C3A9D"/>
    <w:rsid w:val="002C41E6"/>
    <w:rsid w:val="002C77B2"/>
    <w:rsid w:val="002D0404"/>
    <w:rsid w:val="002D071A"/>
    <w:rsid w:val="002D34B2"/>
    <w:rsid w:val="002D48B0"/>
    <w:rsid w:val="002D5B37"/>
    <w:rsid w:val="002D630B"/>
    <w:rsid w:val="002D7637"/>
    <w:rsid w:val="002E1068"/>
    <w:rsid w:val="002E143B"/>
    <w:rsid w:val="002E17F2"/>
    <w:rsid w:val="002E2F23"/>
    <w:rsid w:val="002E2FCC"/>
    <w:rsid w:val="002E7CAE"/>
    <w:rsid w:val="002F0491"/>
    <w:rsid w:val="002F0D06"/>
    <w:rsid w:val="002F1EF1"/>
    <w:rsid w:val="002F2771"/>
    <w:rsid w:val="002F2DCE"/>
    <w:rsid w:val="002F37A9"/>
    <w:rsid w:val="002F7A0B"/>
    <w:rsid w:val="002F7AC1"/>
    <w:rsid w:val="00301CE6"/>
    <w:rsid w:val="0030256B"/>
    <w:rsid w:val="0030501F"/>
    <w:rsid w:val="003073D3"/>
    <w:rsid w:val="00307BA1"/>
    <w:rsid w:val="00311702"/>
    <w:rsid w:val="0031197F"/>
    <w:rsid w:val="00311E82"/>
    <w:rsid w:val="00313FD6"/>
    <w:rsid w:val="003143BD"/>
    <w:rsid w:val="00315363"/>
    <w:rsid w:val="003156E9"/>
    <w:rsid w:val="00316F31"/>
    <w:rsid w:val="003203ED"/>
    <w:rsid w:val="00322C9F"/>
    <w:rsid w:val="00322F2A"/>
    <w:rsid w:val="003246B8"/>
    <w:rsid w:val="00324D23"/>
    <w:rsid w:val="00324E9B"/>
    <w:rsid w:val="00324F0B"/>
    <w:rsid w:val="00326F69"/>
    <w:rsid w:val="00330484"/>
    <w:rsid w:val="00331751"/>
    <w:rsid w:val="00333CEE"/>
    <w:rsid w:val="00333E50"/>
    <w:rsid w:val="00334579"/>
    <w:rsid w:val="00335858"/>
    <w:rsid w:val="00336BDA"/>
    <w:rsid w:val="003405B9"/>
    <w:rsid w:val="00340996"/>
    <w:rsid w:val="00342691"/>
    <w:rsid w:val="00342BD7"/>
    <w:rsid w:val="00345FD5"/>
    <w:rsid w:val="00346DB5"/>
    <w:rsid w:val="003477B1"/>
    <w:rsid w:val="0035130E"/>
    <w:rsid w:val="00352236"/>
    <w:rsid w:val="00357380"/>
    <w:rsid w:val="003602D9"/>
    <w:rsid w:val="003604CE"/>
    <w:rsid w:val="00364D7F"/>
    <w:rsid w:val="003657EC"/>
    <w:rsid w:val="003704D6"/>
    <w:rsid w:val="00370E47"/>
    <w:rsid w:val="003742AC"/>
    <w:rsid w:val="00377CE1"/>
    <w:rsid w:val="00385BF0"/>
    <w:rsid w:val="0038613F"/>
    <w:rsid w:val="00386194"/>
    <w:rsid w:val="003861B4"/>
    <w:rsid w:val="003921AE"/>
    <w:rsid w:val="003939FF"/>
    <w:rsid w:val="00395018"/>
    <w:rsid w:val="003A2223"/>
    <w:rsid w:val="003A2A0F"/>
    <w:rsid w:val="003A2A8C"/>
    <w:rsid w:val="003A45A1"/>
    <w:rsid w:val="003A4BC7"/>
    <w:rsid w:val="003A5B0A"/>
    <w:rsid w:val="003A66F7"/>
    <w:rsid w:val="003A6BAC"/>
    <w:rsid w:val="003A70A4"/>
    <w:rsid w:val="003A7EF3"/>
    <w:rsid w:val="003B159C"/>
    <w:rsid w:val="003B369F"/>
    <w:rsid w:val="003B36A3"/>
    <w:rsid w:val="003B3E41"/>
    <w:rsid w:val="003B64BB"/>
    <w:rsid w:val="003B7C8E"/>
    <w:rsid w:val="003B7FE5"/>
    <w:rsid w:val="003C11C8"/>
    <w:rsid w:val="003C1295"/>
    <w:rsid w:val="003C1D3C"/>
    <w:rsid w:val="003C2702"/>
    <w:rsid w:val="003C3FEF"/>
    <w:rsid w:val="003C7806"/>
    <w:rsid w:val="003D109F"/>
    <w:rsid w:val="003D2478"/>
    <w:rsid w:val="003D3C45"/>
    <w:rsid w:val="003D4156"/>
    <w:rsid w:val="003D5B1F"/>
    <w:rsid w:val="003D7FD4"/>
    <w:rsid w:val="003E15FA"/>
    <w:rsid w:val="003E55E4"/>
    <w:rsid w:val="003E5B23"/>
    <w:rsid w:val="003E7043"/>
    <w:rsid w:val="003E74E3"/>
    <w:rsid w:val="003F05C7"/>
    <w:rsid w:val="003F231C"/>
    <w:rsid w:val="003F2CD4"/>
    <w:rsid w:val="003F3902"/>
    <w:rsid w:val="003F3989"/>
    <w:rsid w:val="003F6BBE"/>
    <w:rsid w:val="004000E8"/>
    <w:rsid w:val="00401DFB"/>
    <w:rsid w:val="00402E2B"/>
    <w:rsid w:val="00403356"/>
    <w:rsid w:val="0040512B"/>
    <w:rsid w:val="00405CA5"/>
    <w:rsid w:val="00406001"/>
    <w:rsid w:val="00407CD3"/>
    <w:rsid w:val="00410134"/>
    <w:rsid w:val="00410B72"/>
    <w:rsid w:val="00410F18"/>
    <w:rsid w:val="0041263E"/>
    <w:rsid w:val="004127B3"/>
    <w:rsid w:val="00413AAC"/>
    <w:rsid w:val="00413E92"/>
    <w:rsid w:val="00417530"/>
    <w:rsid w:val="00421105"/>
    <w:rsid w:val="004218DA"/>
    <w:rsid w:val="00422AA4"/>
    <w:rsid w:val="0042410F"/>
    <w:rsid w:val="004242F4"/>
    <w:rsid w:val="00426800"/>
    <w:rsid w:val="00427248"/>
    <w:rsid w:val="00434F9D"/>
    <w:rsid w:val="0043602C"/>
    <w:rsid w:val="00436687"/>
    <w:rsid w:val="00437447"/>
    <w:rsid w:val="0044155E"/>
    <w:rsid w:val="00441A92"/>
    <w:rsid w:val="004431DC"/>
    <w:rsid w:val="00444F56"/>
    <w:rsid w:val="00446488"/>
    <w:rsid w:val="00447C2D"/>
    <w:rsid w:val="004517AA"/>
    <w:rsid w:val="00452CAC"/>
    <w:rsid w:val="00457565"/>
    <w:rsid w:val="00457B71"/>
    <w:rsid w:val="00462F66"/>
    <w:rsid w:val="004635D6"/>
    <w:rsid w:val="00463D14"/>
    <w:rsid w:val="004644B4"/>
    <w:rsid w:val="004669E2"/>
    <w:rsid w:val="004705C1"/>
    <w:rsid w:val="00470C31"/>
    <w:rsid w:val="00471284"/>
    <w:rsid w:val="00471DE0"/>
    <w:rsid w:val="00473188"/>
    <w:rsid w:val="004734D0"/>
    <w:rsid w:val="00473B45"/>
    <w:rsid w:val="004753E1"/>
    <w:rsid w:val="0047556B"/>
    <w:rsid w:val="00477768"/>
    <w:rsid w:val="004925A2"/>
    <w:rsid w:val="00492BC5"/>
    <w:rsid w:val="00492C24"/>
    <w:rsid w:val="00493F48"/>
    <w:rsid w:val="00494E34"/>
    <w:rsid w:val="004964F1"/>
    <w:rsid w:val="004977A4"/>
    <w:rsid w:val="004A16BC"/>
    <w:rsid w:val="004A1E19"/>
    <w:rsid w:val="004A2B94"/>
    <w:rsid w:val="004A48D6"/>
    <w:rsid w:val="004A6D94"/>
    <w:rsid w:val="004B6F6A"/>
    <w:rsid w:val="004B7215"/>
    <w:rsid w:val="004B7C0C"/>
    <w:rsid w:val="004C12F2"/>
    <w:rsid w:val="004C1C13"/>
    <w:rsid w:val="004C2E60"/>
    <w:rsid w:val="004C3898"/>
    <w:rsid w:val="004C43BA"/>
    <w:rsid w:val="004D2A96"/>
    <w:rsid w:val="004D36B1"/>
    <w:rsid w:val="004D4295"/>
    <w:rsid w:val="004D7EBD"/>
    <w:rsid w:val="004E2680"/>
    <w:rsid w:val="004E2771"/>
    <w:rsid w:val="004E28F9"/>
    <w:rsid w:val="004E462E"/>
    <w:rsid w:val="004E56DC"/>
    <w:rsid w:val="004E5BD5"/>
    <w:rsid w:val="004E76F4"/>
    <w:rsid w:val="004E7C81"/>
    <w:rsid w:val="004F0B4E"/>
    <w:rsid w:val="004F0B6C"/>
    <w:rsid w:val="004F2078"/>
    <w:rsid w:val="004F4DA3"/>
    <w:rsid w:val="004F547E"/>
    <w:rsid w:val="004F6B46"/>
    <w:rsid w:val="00500583"/>
    <w:rsid w:val="00504C3E"/>
    <w:rsid w:val="00505BD3"/>
    <w:rsid w:val="00506303"/>
    <w:rsid w:val="00506557"/>
    <w:rsid w:val="0050677A"/>
    <w:rsid w:val="005108D8"/>
    <w:rsid w:val="00510ECA"/>
    <w:rsid w:val="005116F9"/>
    <w:rsid w:val="00511E02"/>
    <w:rsid w:val="005153A7"/>
    <w:rsid w:val="0051601F"/>
    <w:rsid w:val="0051625D"/>
    <w:rsid w:val="005219CF"/>
    <w:rsid w:val="00522107"/>
    <w:rsid w:val="00522AF1"/>
    <w:rsid w:val="00525F7A"/>
    <w:rsid w:val="0053057B"/>
    <w:rsid w:val="005315BB"/>
    <w:rsid w:val="005327BD"/>
    <w:rsid w:val="0053425A"/>
    <w:rsid w:val="00534B59"/>
    <w:rsid w:val="005358E9"/>
    <w:rsid w:val="00536759"/>
    <w:rsid w:val="00537C62"/>
    <w:rsid w:val="005423C3"/>
    <w:rsid w:val="00542633"/>
    <w:rsid w:val="00542B4A"/>
    <w:rsid w:val="005461A8"/>
    <w:rsid w:val="00546493"/>
    <w:rsid w:val="0054652E"/>
    <w:rsid w:val="00546970"/>
    <w:rsid w:val="00546BAE"/>
    <w:rsid w:val="005476F6"/>
    <w:rsid w:val="00554611"/>
    <w:rsid w:val="00554AD7"/>
    <w:rsid w:val="00554E19"/>
    <w:rsid w:val="005551C0"/>
    <w:rsid w:val="005579C3"/>
    <w:rsid w:val="0056121F"/>
    <w:rsid w:val="00564169"/>
    <w:rsid w:val="00565955"/>
    <w:rsid w:val="00572505"/>
    <w:rsid w:val="00572BA9"/>
    <w:rsid w:val="00582809"/>
    <w:rsid w:val="00583C6D"/>
    <w:rsid w:val="00585FFE"/>
    <w:rsid w:val="0058798C"/>
    <w:rsid w:val="005900FA"/>
    <w:rsid w:val="005935A4"/>
    <w:rsid w:val="005948C2"/>
    <w:rsid w:val="00595DCA"/>
    <w:rsid w:val="0059779B"/>
    <w:rsid w:val="00597B5E"/>
    <w:rsid w:val="005A0B35"/>
    <w:rsid w:val="005A0D8D"/>
    <w:rsid w:val="005A1955"/>
    <w:rsid w:val="005A209A"/>
    <w:rsid w:val="005A662D"/>
    <w:rsid w:val="005B1409"/>
    <w:rsid w:val="005B1548"/>
    <w:rsid w:val="005B35D7"/>
    <w:rsid w:val="005B392A"/>
    <w:rsid w:val="005B3AA3"/>
    <w:rsid w:val="005B4349"/>
    <w:rsid w:val="005B6F83"/>
    <w:rsid w:val="005C2AC9"/>
    <w:rsid w:val="005C3715"/>
    <w:rsid w:val="005C74FB"/>
    <w:rsid w:val="005C7E1B"/>
    <w:rsid w:val="005D0435"/>
    <w:rsid w:val="005D1602"/>
    <w:rsid w:val="005D2CAF"/>
    <w:rsid w:val="005D3326"/>
    <w:rsid w:val="005D68A6"/>
    <w:rsid w:val="005E385F"/>
    <w:rsid w:val="005E3DD3"/>
    <w:rsid w:val="005E42B0"/>
    <w:rsid w:val="005E439B"/>
    <w:rsid w:val="005E5B81"/>
    <w:rsid w:val="005E79B6"/>
    <w:rsid w:val="005F036B"/>
    <w:rsid w:val="005F112E"/>
    <w:rsid w:val="005F2CB1"/>
    <w:rsid w:val="005F3025"/>
    <w:rsid w:val="005F4613"/>
    <w:rsid w:val="005F4A92"/>
    <w:rsid w:val="005F5534"/>
    <w:rsid w:val="005F59C2"/>
    <w:rsid w:val="005F618C"/>
    <w:rsid w:val="005F70BD"/>
    <w:rsid w:val="005F7713"/>
    <w:rsid w:val="00600396"/>
    <w:rsid w:val="0060283C"/>
    <w:rsid w:val="006049A9"/>
    <w:rsid w:val="00604F14"/>
    <w:rsid w:val="0060770E"/>
    <w:rsid w:val="00610EBF"/>
    <w:rsid w:val="00611B83"/>
    <w:rsid w:val="00613257"/>
    <w:rsid w:val="00620610"/>
    <w:rsid w:val="00620A71"/>
    <w:rsid w:val="00620D80"/>
    <w:rsid w:val="00620E55"/>
    <w:rsid w:val="00621E53"/>
    <w:rsid w:val="00622181"/>
    <w:rsid w:val="006234A6"/>
    <w:rsid w:val="006239BB"/>
    <w:rsid w:val="00624CF3"/>
    <w:rsid w:val="0062651D"/>
    <w:rsid w:val="00630001"/>
    <w:rsid w:val="006311B3"/>
    <w:rsid w:val="0063284C"/>
    <w:rsid w:val="00633DF1"/>
    <w:rsid w:val="00636398"/>
    <w:rsid w:val="006368D3"/>
    <w:rsid w:val="006377EC"/>
    <w:rsid w:val="0064151F"/>
    <w:rsid w:val="00641533"/>
    <w:rsid w:val="0064208D"/>
    <w:rsid w:val="00643475"/>
    <w:rsid w:val="0064396A"/>
    <w:rsid w:val="0064624E"/>
    <w:rsid w:val="00647F96"/>
    <w:rsid w:val="00650A28"/>
    <w:rsid w:val="00650AB9"/>
    <w:rsid w:val="00655733"/>
    <w:rsid w:val="00655ACD"/>
    <w:rsid w:val="00656A92"/>
    <w:rsid w:val="00656DDE"/>
    <w:rsid w:val="0066011D"/>
    <w:rsid w:val="006607C0"/>
    <w:rsid w:val="00660E05"/>
    <w:rsid w:val="006613A6"/>
    <w:rsid w:val="00661EA0"/>
    <w:rsid w:val="00662784"/>
    <w:rsid w:val="006627A2"/>
    <w:rsid w:val="006634E6"/>
    <w:rsid w:val="00664D95"/>
    <w:rsid w:val="006655EE"/>
    <w:rsid w:val="0066593F"/>
    <w:rsid w:val="00667EE7"/>
    <w:rsid w:val="00670922"/>
    <w:rsid w:val="00670BE1"/>
    <w:rsid w:val="00670F87"/>
    <w:rsid w:val="0067218F"/>
    <w:rsid w:val="006741F2"/>
    <w:rsid w:val="00674CC3"/>
    <w:rsid w:val="00675C72"/>
    <w:rsid w:val="006771F9"/>
    <w:rsid w:val="006776D7"/>
    <w:rsid w:val="00681003"/>
    <w:rsid w:val="006817C9"/>
    <w:rsid w:val="006832C2"/>
    <w:rsid w:val="00683ECE"/>
    <w:rsid w:val="00690863"/>
    <w:rsid w:val="00691E85"/>
    <w:rsid w:val="00695FC2"/>
    <w:rsid w:val="00696949"/>
    <w:rsid w:val="00696C45"/>
    <w:rsid w:val="00697052"/>
    <w:rsid w:val="006A058E"/>
    <w:rsid w:val="006A0DC3"/>
    <w:rsid w:val="006A46FB"/>
    <w:rsid w:val="006A5E28"/>
    <w:rsid w:val="006A6769"/>
    <w:rsid w:val="006A697B"/>
    <w:rsid w:val="006A7AFF"/>
    <w:rsid w:val="006B1816"/>
    <w:rsid w:val="006B2099"/>
    <w:rsid w:val="006B28A3"/>
    <w:rsid w:val="006B2972"/>
    <w:rsid w:val="006B417A"/>
    <w:rsid w:val="006B4C59"/>
    <w:rsid w:val="006B50CF"/>
    <w:rsid w:val="006B6C8D"/>
    <w:rsid w:val="006B6F09"/>
    <w:rsid w:val="006C03B8"/>
    <w:rsid w:val="006C2DF7"/>
    <w:rsid w:val="006C4EF0"/>
    <w:rsid w:val="006C5984"/>
    <w:rsid w:val="006C5EC9"/>
    <w:rsid w:val="006C6059"/>
    <w:rsid w:val="006C7522"/>
    <w:rsid w:val="006D0132"/>
    <w:rsid w:val="006D1EE0"/>
    <w:rsid w:val="006D6F08"/>
    <w:rsid w:val="006E062C"/>
    <w:rsid w:val="006E1C82"/>
    <w:rsid w:val="006E28B7"/>
    <w:rsid w:val="006E2A9B"/>
    <w:rsid w:val="006E3310"/>
    <w:rsid w:val="006E3D71"/>
    <w:rsid w:val="006E4E39"/>
    <w:rsid w:val="006E565E"/>
    <w:rsid w:val="006E673D"/>
    <w:rsid w:val="006E7D3B"/>
    <w:rsid w:val="006F0FD0"/>
    <w:rsid w:val="006F1B70"/>
    <w:rsid w:val="006F341D"/>
    <w:rsid w:val="006F3CDE"/>
    <w:rsid w:val="006F4094"/>
    <w:rsid w:val="006F50D6"/>
    <w:rsid w:val="006F58D4"/>
    <w:rsid w:val="006F6582"/>
    <w:rsid w:val="0070343B"/>
    <w:rsid w:val="0070346E"/>
    <w:rsid w:val="00703D6A"/>
    <w:rsid w:val="00704935"/>
    <w:rsid w:val="00704C4D"/>
    <w:rsid w:val="00704EDB"/>
    <w:rsid w:val="00706086"/>
    <w:rsid w:val="00706101"/>
    <w:rsid w:val="007065C7"/>
    <w:rsid w:val="007068B4"/>
    <w:rsid w:val="00707072"/>
    <w:rsid w:val="00707D61"/>
    <w:rsid w:val="00711E56"/>
    <w:rsid w:val="00712287"/>
    <w:rsid w:val="00712772"/>
    <w:rsid w:val="007148D3"/>
    <w:rsid w:val="007149E9"/>
    <w:rsid w:val="00715B9A"/>
    <w:rsid w:val="00715FCC"/>
    <w:rsid w:val="00721D9D"/>
    <w:rsid w:val="007257D0"/>
    <w:rsid w:val="00726EA6"/>
    <w:rsid w:val="00727208"/>
    <w:rsid w:val="00727680"/>
    <w:rsid w:val="007323E4"/>
    <w:rsid w:val="007348B1"/>
    <w:rsid w:val="007362A6"/>
    <w:rsid w:val="00736D7D"/>
    <w:rsid w:val="00740E58"/>
    <w:rsid w:val="007445A0"/>
    <w:rsid w:val="00744A81"/>
    <w:rsid w:val="0074524B"/>
    <w:rsid w:val="00745543"/>
    <w:rsid w:val="00747AB6"/>
    <w:rsid w:val="00747D8B"/>
    <w:rsid w:val="00751228"/>
    <w:rsid w:val="007529B9"/>
    <w:rsid w:val="007571E1"/>
    <w:rsid w:val="0075785E"/>
    <w:rsid w:val="00757A16"/>
    <w:rsid w:val="007604B2"/>
    <w:rsid w:val="00760FAE"/>
    <w:rsid w:val="007621FF"/>
    <w:rsid w:val="00765281"/>
    <w:rsid w:val="00765BE9"/>
    <w:rsid w:val="00766BAD"/>
    <w:rsid w:val="00771B0F"/>
    <w:rsid w:val="007729A2"/>
    <w:rsid w:val="00773468"/>
    <w:rsid w:val="00773936"/>
    <w:rsid w:val="007755F2"/>
    <w:rsid w:val="00776685"/>
    <w:rsid w:val="00776971"/>
    <w:rsid w:val="00780A80"/>
    <w:rsid w:val="0078177E"/>
    <w:rsid w:val="0078304C"/>
    <w:rsid w:val="00783673"/>
    <w:rsid w:val="00785490"/>
    <w:rsid w:val="00787E1D"/>
    <w:rsid w:val="007925EA"/>
    <w:rsid w:val="007938EF"/>
    <w:rsid w:val="00793CD8"/>
    <w:rsid w:val="00795134"/>
    <w:rsid w:val="00795C92"/>
    <w:rsid w:val="00796231"/>
    <w:rsid w:val="0079683C"/>
    <w:rsid w:val="00796BFF"/>
    <w:rsid w:val="00797822"/>
    <w:rsid w:val="007A1CB3"/>
    <w:rsid w:val="007A306F"/>
    <w:rsid w:val="007A3BF5"/>
    <w:rsid w:val="007A43A6"/>
    <w:rsid w:val="007A58A6"/>
    <w:rsid w:val="007B04B6"/>
    <w:rsid w:val="007B3D2D"/>
    <w:rsid w:val="007B50AE"/>
    <w:rsid w:val="007B51DF"/>
    <w:rsid w:val="007B54F9"/>
    <w:rsid w:val="007B5AC8"/>
    <w:rsid w:val="007B6028"/>
    <w:rsid w:val="007B648F"/>
    <w:rsid w:val="007B7782"/>
    <w:rsid w:val="007B78EA"/>
    <w:rsid w:val="007C05DD"/>
    <w:rsid w:val="007C11E2"/>
    <w:rsid w:val="007C1CAA"/>
    <w:rsid w:val="007C2D92"/>
    <w:rsid w:val="007C3D18"/>
    <w:rsid w:val="007C52C6"/>
    <w:rsid w:val="007C60BF"/>
    <w:rsid w:val="007C6A07"/>
    <w:rsid w:val="007C75A1"/>
    <w:rsid w:val="007C77A5"/>
    <w:rsid w:val="007D04E5"/>
    <w:rsid w:val="007D5901"/>
    <w:rsid w:val="007D7526"/>
    <w:rsid w:val="007E0221"/>
    <w:rsid w:val="007E340F"/>
    <w:rsid w:val="007E4610"/>
    <w:rsid w:val="007E4715"/>
    <w:rsid w:val="007E505B"/>
    <w:rsid w:val="007E7091"/>
    <w:rsid w:val="007F47C6"/>
    <w:rsid w:val="007F6C16"/>
    <w:rsid w:val="00803FAE"/>
    <w:rsid w:val="00804444"/>
    <w:rsid w:val="00805741"/>
    <w:rsid w:val="0080605F"/>
    <w:rsid w:val="00807663"/>
    <w:rsid w:val="00807786"/>
    <w:rsid w:val="008119FE"/>
    <w:rsid w:val="00811FCB"/>
    <w:rsid w:val="008133F5"/>
    <w:rsid w:val="0081487B"/>
    <w:rsid w:val="00815031"/>
    <w:rsid w:val="008158D6"/>
    <w:rsid w:val="00817196"/>
    <w:rsid w:val="00817D74"/>
    <w:rsid w:val="00817E96"/>
    <w:rsid w:val="008226DC"/>
    <w:rsid w:val="00822F73"/>
    <w:rsid w:val="008235DB"/>
    <w:rsid w:val="00824AB4"/>
    <w:rsid w:val="00825C42"/>
    <w:rsid w:val="00825D25"/>
    <w:rsid w:val="00827802"/>
    <w:rsid w:val="00827D6F"/>
    <w:rsid w:val="008308A5"/>
    <w:rsid w:val="008376AC"/>
    <w:rsid w:val="008444E8"/>
    <w:rsid w:val="00844E80"/>
    <w:rsid w:val="008469D4"/>
    <w:rsid w:val="00846FE7"/>
    <w:rsid w:val="00856911"/>
    <w:rsid w:val="00863F33"/>
    <w:rsid w:val="00864762"/>
    <w:rsid w:val="008659BB"/>
    <w:rsid w:val="008677FD"/>
    <w:rsid w:val="008706D4"/>
    <w:rsid w:val="00870F8A"/>
    <w:rsid w:val="008719A2"/>
    <w:rsid w:val="008719A4"/>
    <w:rsid w:val="00871D23"/>
    <w:rsid w:val="0087241B"/>
    <w:rsid w:val="00873F2D"/>
    <w:rsid w:val="00874312"/>
    <w:rsid w:val="0087437C"/>
    <w:rsid w:val="00875768"/>
    <w:rsid w:val="00875CD7"/>
    <w:rsid w:val="008768E5"/>
    <w:rsid w:val="00876B4D"/>
    <w:rsid w:val="00877F18"/>
    <w:rsid w:val="008823D8"/>
    <w:rsid w:val="00883626"/>
    <w:rsid w:val="00892A58"/>
    <w:rsid w:val="008941E3"/>
    <w:rsid w:val="00894687"/>
    <w:rsid w:val="008948F6"/>
    <w:rsid w:val="00894A88"/>
    <w:rsid w:val="00895386"/>
    <w:rsid w:val="008A0948"/>
    <w:rsid w:val="008A21FF"/>
    <w:rsid w:val="008A2CE2"/>
    <w:rsid w:val="008A30AC"/>
    <w:rsid w:val="008A44B8"/>
    <w:rsid w:val="008A46F1"/>
    <w:rsid w:val="008A51A8"/>
    <w:rsid w:val="008A54C7"/>
    <w:rsid w:val="008A77D8"/>
    <w:rsid w:val="008B0483"/>
    <w:rsid w:val="008B11F7"/>
    <w:rsid w:val="008B120C"/>
    <w:rsid w:val="008B51A0"/>
    <w:rsid w:val="008B592A"/>
    <w:rsid w:val="008B6498"/>
    <w:rsid w:val="008B65E0"/>
    <w:rsid w:val="008B7B5C"/>
    <w:rsid w:val="008C0C99"/>
    <w:rsid w:val="008C2017"/>
    <w:rsid w:val="008C2FB2"/>
    <w:rsid w:val="008C4244"/>
    <w:rsid w:val="008C4958"/>
    <w:rsid w:val="008C4BAA"/>
    <w:rsid w:val="008C57A6"/>
    <w:rsid w:val="008C6AE8"/>
    <w:rsid w:val="008C7573"/>
    <w:rsid w:val="008D00A5"/>
    <w:rsid w:val="008D03B5"/>
    <w:rsid w:val="008D2D54"/>
    <w:rsid w:val="008D34F1"/>
    <w:rsid w:val="008D39D8"/>
    <w:rsid w:val="008D6D1A"/>
    <w:rsid w:val="008E0234"/>
    <w:rsid w:val="008E065E"/>
    <w:rsid w:val="008E0927"/>
    <w:rsid w:val="008E1909"/>
    <w:rsid w:val="008E1D10"/>
    <w:rsid w:val="008E55E4"/>
    <w:rsid w:val="008E73F6"/>
    <w:rsid w:val="008E751A"/>
    <w:rsid w:val="008F0089"/>
    <w:rsid w:val="008F1EAB"/>
    <w:rsid w:val="008F23E4"/>
    <w:rsid w:val="008F33DC"/>
    <w:rsid w:val="008F477F"/>
    <w:rsid w:val="008F5343"/>
    <w:rsid w:val="0090146B"/>
    <w:rsid w:val="00902350"/>
    <w:rsid w:val="0090336B"/>
    <w:rsid w:val="00903CFA"/>
    <w:rsid w:val="009042F5"/>
    <w:rsid w:val="009053AA"/>
    <w:rsid w:val="00906939"/>
    <w:rsid w:val="00907A72"/>
    <w:rsid w:val="00910B7D"/>
    <w:rsid w:val="0091133A"/>
    <w:rsid w:val="00911DFB"/>
    <w:rsid w:val="009139D9"/>
    <w:rsid w:val="00914AD8"/>
    <w:rsid w:val="00915742"/>
    <w:rsid w:val="00915FA9"/>
    <w:rsid w:val="00916079"/>
    <w:rsid w:val="009172B1"/>
    <w:rsid w:val="00917535"/>
    <w:rsid w:val="00917928"/>
    <w:rsid w:val="00917CE9"/>
    <w:rsid w:val="00920BF2"/>
    <w:rsid w:val="00921518"/>
    <w:rsid w:val="00922010"/>
    <w:rsid w:val="009237EC"/>
    <w:rsid w:val="009276B5"/>
    <w:rsid w:val="00930BE8"/>
    <w:rsid w:val="00931BD9"/>
    <w:rsid w:val="00936875"/>
    <w:rsid w:val="009368F3"/>
    <w:rsid w:val="0093763A"/>
    <w:rsid w:val="00941636"/>
    <w:rsid w:val="00942CD3"/>
    <w:rsid w:val="0094370C"/>
    <w:rsid w:val="00943742"/>
    <w:rsid w:val="00944B48"/>
    <w:rsid w:val="00945C05"/>
    <w:rsid w:val="00946945"/>
    <w:rsid w:val="00947713"/>
    <w:rsid w:val="00950DE7"/>
    <w:rsid w:val="00953920"/>
    <w:rsid w:val="00953D47"/>
    <w:rsid w:val="0095681E"/>
    <w:rsid w:val="009572D4"/>
    <w:rsid w:val="00961921"/>
    <w:rsid w:val="00962744"/>
    <w:rsid w:val="00962AA8"/>
    <w:rsid w:val="00964051"/>
    <w:rsid w:val="0096430A"/>
    <w:rsid w:val="009652B6"/>
    <w:rsid w:val="0096554B"/>
    <w:rsid w:val="0096584A"/>
    <w:rsid w:val="00965D10"/>
    <w:rsid w:val="00971F08"/>
    <w:rsid w:val="009729DC"/>
    <w:rsid w:val="0097603D"/>
    <w:rsid w:val="00976949"/>
    <w:rsid w:val="00976D07"/>
    <w:rsid w:val="00977016"/>
    <w:rsid w:val="00980477"/>
    <w:rsid w:val="0098355D"/>
    <w:rsid w:val="009851D4"/>
    <w:rsid w:val="00985253"/>
    <w:rsid w:val="009853B3"/>
    <w:rsid w:val="00985F2A"/>
    <w:rsid w:val="0098669B"/>
    <w:rsid w:val="00990630"/>
    <w:rsid w:val="00991761"/>
    <w:rsid w:val="00994DCA"/>
    <w:rsid w:val="009960EC"/>
    <w:rsid w:val="009970DD"/>
    <w:rsid w:val="0099791E"/>
    <w:rsid w:val="009A0FBA"/>
    <w:rsid w:val="009A101B"/>
    <w:rsid w:val="009A1601"/>
    <w:rsid w:val="009A22E1"/>
    <w:rsid w:val="009A3BB6"/>
    <w:rsid w:val="009A462D"/>
    <w:rsid w:val="009A5CBA"/>
    <w:rsid w:val="009A7123"/>
    <w:rsid w:val="009B1B56"/>
    <w:rsid w:val="009B1F30"/>
    <w:rsid w:val="009B2B40"/>
    <w:rsid w:val="009B3759"/>
    <w:rsid w:val="009B3AC2"/>
    <w:rsid w:val="009B3C71"/>
    <w:rsid w:val="009B3F64"/>
    <w:rsid w:val="009B4DF4"/>
    <w:rsid w:val="009B564E"/>
    <w:rsid w:val="009B6E69"/>
    <w:rsid w:val="009B7716"/>
    <w:rsid w:val="009B7E87"/>
    <w:rsid w:val="009C0169"/>
    <w:rsid w:val="009C403E"/>
    <w:rsid w:val="009C45BA"/>
    <w:rsid w:val="009C5180"/>
    <w:rsid w:val="009C695A"/>
    <w:rsid w:val="009D1161"/>
    <w:rsid w:val="009D3680"/>
    <w:rsid w:val="009D4FF0"/>
    <w:rsid w:val="009D5EB3"/>
    <w:rsid w:val="009D5FCF"/>
    <w:rsid w:val="009D703C"/>
    <w:rsid w:val="009D718F"/>
    <w:rsid w:val="009E068F"/>
    <w:rsid w:val="009E13C1"/>
    <w:rsid w:val="009E14E0"/>
    <w:rsid w:val="009E2FF5"/>
    <w:rsid w:val="009E35DB"/>
    <w:rsid w:val="009E3D29"/>
    <w:rsid w:val="009E47A3"/>
    <w:rsid w:val="009E5A8B"/>
    <w:rsid w:val="009F08F3"/>
    <w:rsid w:val="009F149A"/>
    <w:rsid w:val="009F1CFF"/>
    <w:rsid w:val="009F344F"/>
    <w:rsid w:val="009F6153"/>
    <w:rsid w:val="00A031D8"/>
    <w:rsid w:val="00A039F6"/>
    <w:rsid w:val="00A048A8"/>
    <w:rsid w:val="00A04A96"/>
    <w:rsid w:val="00A04F49"/>
    <w:rsid w:val="00A05CAA"/>
    <w:rsid w:val="00A06C61"/>
    <w:rsid w:val="00A13E54"/>
    <w:rsid w:val="00A165E7"/>
    <w:rsid w:val="00A17F63"/>
    <w:rsid w:val="00A20CCD"/>
    <w:rsid w:val="00A214C2"/>
    <w:rsid w:val="00A2193B"/>
    <w:rsid w:val="00A2351A"/>
    <w:rsid w:val="00A264A9"/>
    <w:rsid w:val="00A26DCF"/>
    <w:rsid w:val="00A27785"/>
    <w:rsid w:val="00A30187"/>
    <w:rsid w:val="00A31E76"/>
    <w:rsid w:val="00A32185"/>
    <w:rsid w:val="00A3286D"/>
    <w:rsid w:val="00A3448A"/>
    <w:rsid w:val="00A34930"/>
    <w:rsid w:val="00A34FC1"/>
    <w:rsid w:val="00A36297"/>
    <w:rsid w:val="00A36AD4"/>
    <w:rsid w:val="00A37EDA"/>
    <w:rsid w:val="00A41E2B"/>
    <w:rsid w:val="00A42FA8"/>
    <w:rsid w:val="00A452C5"/>
    <w:rsid w:val="00A45B74"/>
    <w:rsid w:val="00A46A94"/>
    <w:rsid w:val="00A47818"/>
    <w:rsid w:val="00A52E1D"/>
    <w:rsid w:val="00A54F8B"/>
    <w:rsid w:val="00A561D3"/>
    <w:rsid w:val="00A56FA4"/>
    <w:rsid w:val="00A578C3"/>
    <w:rsid w:val="00A6049E"/>
    <w:rsid w:val="00A612E3"/>
    <w:rsid w:val="00A61499"/>
    <w:rsid w:val="00A62A77"/>
    <w:rsid w:val="00A63483"/>
    <w:rsid w:val="00A645A8"/>
    <w:rsid w:val="00A657D7"/>
    <w:rsid w:val="00A65FCF"/>
    <w:rsid w:val="00A660AC"/>
    <w:rsid w:val="00A67D08"/>
    <w:rsid w:val="00A67E6C"/>
    <w:rsid w:val="00A701C0"/>
    <w:rsid w:val="00A71B99"/>
    <w:rsid w:val="00A739D0"/>
    <w:rsid w:val="00A74192"/>
    <w:rsid w:val="00A75C85"/>
    <w:rsid w:val="00A761D4"/>
    <w:rsid w:val="00A77D80"/>
    <w:rsid w:val="00A77EC4"/>
    <w:rsid w:val="00A80F79"/>
    <w:rsid w:val="00A827CD"/>
    <w:rsid w:val="00A92879"/>
    <w:rsid w:val="00A92D57"/>
    <w:rsid w:val="00A92E49"/>
    <w:rsid w:val="00A9442A"/>
    <w:rsid w:val="00A954BC"/>
    <w:rsid w:val="00AA016F"/>
    <w:rsid w:val="00AA11E7"/>
    <w:rsid w:val="00AA1941"/>
    <w:rsid w:val="00AA1ED6"/>
    <w:rsid w:val="00AA22FC"/>
    <w:rsid w:val="00AA51D6"/>
    <w:rsid w:val="00AA6EE4"/>
    <w:rsid w:val="00AB0BC8"/>
    <w:rsid w:val="00AB0CFF"/>
    <w:rsid w:val="00AB11CA"/>
    <w:rsid w:val="00AB14D9"/>
    <w:rsid w:val="00AB45BF"/>
    <w:rsid w:val="00AB4AB8"/>
    <w:rsid w:val="00AB5C23"/>
    <w:rsid w:val="00AB655E"/>
    <w:rsid w:val="00AC007F"/>
    <w:rsid w:val="00AC087E"/>
    <w:rsid w:val="00AC2ECD"/>
    <w:rsid w:val="00AC3119"/>
    <w:rsid w:val="00AC3CF2"/>
    <w:rsid w:val="00AC404E"/>
    <w:rsid w:val="00AC49FB"/>
    <w:rsid w:val="00AC5A10"/>
    <w:rsid w:val="00AC6E04"/>
    <w:rsid w:val="00AC73E9"/>
    <w:rsid w:val="00AD0AA3"/>
    <w:rsid w:val="00AD3F94"/>
    <w:rsid w:val="00AD4A5A"/>
    <w:rsid w:val="00AD586E"/>
    <w:rsid w:val="00AE0D40"/>
    <w:rsid w:val="00AE27AC"/>
    <w:rsid w:val="00AE40E0"/>
    <w:rsid w:val="00AE4DBA"/>
    <w:rsid w:val="00AE4F07"/>
    <w:rsid w:val="00AE540D"/>
    <w:rsid w:val="00AE5DD9"/>
    <w:rsid w:val="00AE64B1"/>
    <w:rsid w:val="00AF1C5D"/>
    <w:rsid w:val="00AF42D7"/>
    <w:rsid w:val="00B006CB"/>
    <w:rsid w:val="00B006FE"/>
    <w:rsid w:val="00B007CB"/>
    <w:rsid w:val="00B01CC5"/>
    <w:rsid w:val="00B02AA9"/>
    <w:rsid w:val="00B02FA3"/>
    <w:rsid w:val="00B05084"/>
    <w:rsid w:val="00B06481"/>
    <w:rsid w:val="00B07006"/>
    <w:rsid w:val="00B10171"/>
    <w:rsid w:val="00B137AE"/>
    <w:rsid w:val="00B143B1"/>
    <w:rsid w:val="00B157F9"/>
    <w:rsid w:val="00B1686D"/>
    <w:rsid w:val="00B16F1F"/>
    <w:rsid w:val="00B2004B"/>
    <w:rsid w:val="00B20256"/>
    <w:rsid w:val="00B202FB"/>
    <w:rsid w:val="00B209DE"/>
    <w:rsid w:val="00B20D09"/>
    <w:rsid w:val="00B2366A"/>
    <w:rsid w:val="00B24CCA"/>
    <w:rsid w:val="00B250CA"/>
    <w:rsid w:val="00B257D4"/>
    <w:rsid w:val="00B26A08"/>
    <w:rsid w:val="00B2763F"/>
    <w:rsid w:val="00B27AAC"/>
    <w:rsid w:val="00B30929"/>
    <w:rsid w:val="00B3308B"/>
    <w:rsid w:val="00B3374F"/>
    <w:rsid w:val="00B35768"/>
    <w:rsid w:val="00B372AA"/>
    <w:rsid w:val="00B40445"/>
    <w:rsid w:val="00B409E0"/>
    <w:rsid w:val="00B41888"/>
    <w:rsid w:val="00B42761"/>
    <w:rsid w:val="00B42F5B"/>
    <w:rsid w:val="00B4378B"/>
    <w:rsid w:val="00B43D86"/>
    <w:rsid w:val="00B459CB"/>
    <w:rsid w:val="00B45A52"/>
    <w:rsid w:val="00B46175"/>
    <w:rsid w:val="00B4627A"/>
    <w:rsid w:val="00B47F66"/>
    <w:rsid w:val="00B50632"/>
    <w:rsid w:val="00B5461A"/>
    <w:rsid w:val="00B548B7"/>
    <w:rsid w:val="00B576DF"/>
    <w:rsid w:val="00B57EA5"/>
    <w:rsid w:val="00B60E4D"/>
    <w:rsid w:val="00B63089"/>
    <w:rsid w:val="00B63A9A"/>
    <w:rsid w:val="00B648F7"/>
    <w:rsid w:val="00B64D6A"/>
    <w:rsid w:val="00B656B8"/>
    <w:rsid w:val="00B664C7"/>
    <w:rsid w:val="00B67BD5"/>
    <w:rsid w:val="00B739F6"/>
    <w:rsid w:val="00B74D13"/>
    <w:rsid w:val="00B76449"/>
    <w:rsid w:val="00B7706C"/>
    <w:rsid w:val="00B81A6C"/>
    <w:rsid w:val="00B852EE"/>
    <w:rsid w:val="00B85DE5"/>
    <w:rsid w:val="00B85F54"/>
    <w:rsid w:val="00B873EF"/>
    <w:rsid w:val="00B90F73"/>
    <w:rsid w:val="00B91ED7"/>
    <w:rsid w:val="00B93B59"/>
    <w:rsid w:val="00B93D27"/>
    <w:rsid w:val="00B9406A"/>
    <w:rsid w:val="00BA2280"/>
    <w:rsid w:val="00BA2A08"/>
    <w:rsid w:val="00BA56D2"/>
    <w:rsid w:val="00BA76E0"/>
    <w:rsid w:val="00BB2A25"/>
    <w:rsid w:val="00BB51E9"/>
    <w:rsid w:val="00BB7483"/>
    <w:rsid w:val="00BC0FDC"/>
    <w:rsid w:val="00BC21A4"/>
    <w:rsid w:val="00BC3053"/>
    <w:rsid w:val="00BC306A"/>
    <w:rsid w:val="00BC4D2E"/>
    <w:rsid w:val="00BD1C3C"/>
    <w:rsid w:val="00BD48AC"/>
    <w:rsid w:val="00BD560C"/>
    <w:rsid w:val="00BD5D4A"/>
    <w:rsid w:val="00BD5F1A"/>
    <w:rsid w:val="00BE1234"/>
    <w:rsid w:val="00BE2FA6"/>
    <w:rsid w:val="00BE333F"/>
    <w:rsid w:val="00BE563E"/>
    <w:rsid w:val="00BE7406"/>
    <w:rsid w:val="00BE7603"/>
    <w:rsid w:val="00BF2E72"/>
    <w:rsid w:val="00BF3279"/>
    <w:rsid w:val="00BF3877"/>
    <w:rsid w:val="00BF74C7"/>
    <w:rsid w:val="00C015F1"/>
    <w:rsid w:val="00C01F33"/>
    <w:rsid w:val="00C02CC6"/>
    <w:rsid w:val="00C039EA"/>
    <w:rsid w:val="00C040F7"/>
    <w:rsid w:val="00C044AB"/>
    <w:rsid w:val="00C05706"/>
    <w:rsid w:val="00C07377"/>
    <w:rsid w:val="00C10478"/>
    <w:rsid w:val="00C11EED"/>
    <w:rsid w:val="00C12107"/>
    <w:rsid w:val="00C14B05"/>
    <w:rsid w:val="00C14D4B"/>
    <w:rsid w:val="00C154BB"/>
    <w:rsid w:val="00C15A0F"/>
    <w:rsid w:val="00C16F69"/>
    <w:rsid w:val="00C23338"/>
    <w:rsid w:val="00C279B5"/>
    <w:rsid w:val="00C27AD3"/>
    <w:rsid w:val="00C27C45"/>
    <w:rsid w:val="00C300DD"/>
    <w:rsid w:val="00C31BF9"/>
    <w:rsid w:val="00C32B1E"/>
    <w:rsid w:val="00C3719D"/>
    <w:rsid w:val="00C37CB2"/>
    <w:rsid w:val="00C4427C"/>
    <w:rsid w:val="00C46812"/>
    <w:rsid w:val="00C46C85"/>
    <w:rsid w:val="00C473A5"/>
    <w:rsid w:val="00C51717"/>
    <w:rsid w:val="00C54995"/>
    <w:rsid w:val="00C54D41"/>
    <w:rsid w:val="00C56D2B"/>
    <w:rsid w:val="00C60783"/>
    <w:rsid w:val="00C64672"/>
    <w:rsid w:val="00C70697"/>
    <w:rsid w:val="00C72093"/>
    <w:rsid w:val="00C72EF4"/>
    <w:rsid w:val="00C744FE"/>
    <w:rsid w:val="00C75D2F"/>
    <w:rsid w:val="00C767BE"/>
    <w:rsid w:val="00C76E3C"/>
    <w:rsid w:val="00C81568"/>
    <w:rsid w:val="00C82AF4"/>
    <w:rsid w:val="00C84276"/>
    <w:rsid w:val="00C84914"/>
    <w:rsid w:val="00C854E2"/>
    <w:rsid w:val="00C861AC"/>
    <w:rsid w:val="00C87651"/>
    <w:rsid w:val="00C9027A"/>
    <w:rsid w:val="00C9068E"/>
    <w:rsid w:val="00C909B2"/>
    <w:rsid w:val="00C92063"/>
    <w:rsid w:val="00C93814"/>
    <w:rsid w:val="00C93C4B"/>
    <w:rsid w:val="00C944AB"/>
    <w:rsid w:val="00C95216"/>
    <w:rsid w:val="00C95B40"/>
    <w:rsid w:val="00CA18AD"/>
    <w:rsid w:val="00CA18C3"/>
    <w:rsid w:val="00CA1ED8"/>
    <w:rsid w:val="00CA6EF9"/>
    <w:rsid w:val="00CA7D74"/>
    <w:rsid w:val="00CB1E3F"/>
    <w:rsid w:val="00CB1F63"/>
    <w:rsid w:val="00CB21B8"/>
    <w:rsid w:val="00CB6D6D"/>
    <w:rsid w:val="00CB7170"/>
    <w:rsid w:val="00CB7589"/>
    <w:rsid w:val="00CC02B3"/>
    <w:rsid w:val="00CC040E"/>
    <w:rsid w:val="00CC111F"/>
    <w:rsid w:val="00CC2011"/>
    <w:rsid w:val="00CC3EA0"/>
    <w:rsid w:val="00CC5049"/>
    <w:rsid w:val="00CC5A12"/>
    <w:rsid w:val="00CC5EE7"/>
    <w:rsid w:val="00CC655E"/>
    <w:rsid w:val="00CC7B45"/>
    <w:rsid w:val="00CD1188"/>
    <w:rsid w:val="00CD2ED1"/>
    <w:rsid w:val="00CD337B"/>
    <w:rsid w:val="00CD4000"/>
    <w:rsid w:val="00CD4800"/>
    <w:rsid w:val="00CD7926"/>
    <w:rsid w:val="00CE0424"/>
    <w:rsid w:val="00CE2EAE"/>
    <w:rsid w:val="00CE4859"/>
    <w:rsid w:val="00CE4DB5"/>
    <w:rsid w:val="00CE6165"/>
    <w:rsid w:val="00CE7561"/>
    <w:rsid w:val="00CF1354"/>
    <w:rsid w:val="00CF3B1F"/>
    <w:rsid w:val="00CF3BF6"/>
    <w:rsid w:val="00CF625B"/>
    <w:rsid w:val="00CF687E"/>
    <w:rsid w:val="00CF6C64"/>
    <w:rsid w:val="00D0349B"/>
    <w:rsid w:val="00D045C5"/>
    <w:rsid w:val="00D04B93"/>
    <w:rsid w:val="00D10249"/>
    <w:rsid w:val="00D115C3"/>
    <w:rsid w:val="00D11897"/>
    <w:rsid w:val="00D12037"/>
    <w:rsid w:val="00D1222D"/>
    <w:rsid w:val="00D12A4E"/>
    <w:rsid w:val="00D13135"/>
    <w:rsid w:val="00D13E4E"/>
    <w:rsid w:val="00D173BF"/>
    <w:rsid w:val="00D239A7"/>
    <w:rsid w:val="00D23F47"/>
    <w:rsid w:val="00D25C36"/>
    <w:rsid w:val="00D268FB"/>
    <w:rsid w:val="00D30950"/>
    <w:rsid w:val="00D32E00"/>
    <w:rsid w:val="00D3375A"/>
    <w:rsid w:val="00D34555"/>
    <w:rsid w:val="00D35835"/>
    <w:rsid w:val="00D366CB"/>
    <w:rsid w:val="00D36E71"/>
    <w:rsid w:val="00D37D87"/>
    <w:rsid w:val="00D37FD3"/>
    <w:rsid w:val="00D409CD"/>
    <w:rsid w:val="00D40B33"/>
    <w:rsid w:val="00D41B6B"/>
    <w:rsid w:val="00D4318F"/>
    <w:rsid w:val="00D438BF"/>
    <w:rsid w:val="00D440F8"/>
    <w:rsid w:val="00D44338"/>
    <w:rsid w:val="00D462B4"/>
    <w:rsid w:val="00D463F3"/>
    <w:rsid w:val="00D4710E"/>
    <w:rsid w:val="00D546FF"/>
    <w:rsid w:val="00D555EE"/>
    <w:rsid w:val="00D55AD5"/>
    <w:rsid w:val="00D576CA"/>
    <w:rsid w:val="00D61AF5"/>
    <w:rsid w:val="00D61FF5"/>
    <w:rsid w:val="00D63EF8"/>
    <w:rsid w:val="00D652B5"/>
    <w:rsid w:val="00D66155"/>
    <w:rsid w:val="00D702A7"/>
    <w:rsid w:val="00D708B0"/>
    <w:rsid w:val="00D73281"/>
    <w:rsid w:val="00D73FC7"/>
    <w:rsid w:val="00D75A01"/>
    <w:rsid w:val="00D762C5"/>
    <w:rsid w:val="00D77B1D"/>
    <w:rsid w:val="00D8021F"/>
    <w:rsid w:val="00D80383"/>
    <w:rsid w:val="00D823C6"/>
    <w:rsid w:val="00D8327F"/>
    <w:rsid w:val="00D84528"/>
    <w:rsid w:val="00D8596B"/>
    <w:rsid w:val="00D86CA3"/>
    <w:rsid w:val="00D871CE"/>
    <w:rsid w:val="00D8797D"/>
    <w:rsid w:val="00D901D6"/>
    <w:rsid w:val="00D9196D"/>
    <w:rsid w:val="00D92982"/>
    <w:rsid w:val="00D94E70"/>
    <w:rsid w:val="00D96703"/>
    <w:rsid w:val="00D97309"/>
    <w:rsid w:val="00DA248B"/>
    <w:rsid w:val="00DA305E"/>
    <w:rsid w:val="00DA5417"/>
    <w:rsid w:val="00DA56E8"/>
    <w:rsid w:val="00DB0A9F"/>
    <w:rsid w:val="00DB139F"/>
    <w:rsid w:val="00DB377D"/>
    <w:rsid w:val="00DC0350"/>
    <w:rsid w:val="00DC0DEA"/>
    <w:rsid w:val="00DC2960"/>
    <w:rsid w:val="00DC2D36"/>
    <w:rsid w:val="00DC327A"/>
    <w:rsid w:val="00DC53EF"/>
    <w:rsid w:val="00DD0352"/>
    <w:rsid w:val="00DD0696"/>
    <w:rsid w:val="00DD4B8B"/>
    <w:rsid w:val="00DD5F91"/>
    <w:rsid w:val="00DE389A"/>
    <w:rsid w:val="00DE5608"/>
    <w:rsid w:val="00DE58D0"/>
    <w:rsid w:val="00DE5F1D"/>
    <w:rsid w:val="00DE654F"/>
    <w:rsid w:val="00DF0B6E"/>
    <w:rsid w:val="00DF15E0"/>
    <w:rsid w:val="00DF37A0"/>
    <w:rsid w:val="00DF53AC"/>
    <w:rsid w:val="00E01B05"/>
    <w:rsid w:val="00E059BA"/>
    <w:rsid w:val="00E1093B"/>
    <w:rsid w:val="00E1101B"/>
    <w:rsid w:val="00E110E7"/>
    <w:rsid w:val="00E11103"/>
    <w:rsid w:val="00E11B20"/>
    <w:rsid w:val="00E133CE"/>
    <w:rsid w:val="00E17FA2"/>
    <w:rsid w:val="00E22330"/>
    <w:rsid w:val="00E30B5A"/>
    <w:rsid w:val="00E3123D"/>
    <w:rsid w:val="00E31461"/>
    <w:rsid w:val="00E31D43"/>
    <w:rsid w:val="00E32608"/>
    <w:rsid w:val="00E34188"/>
    <w:rsid w:val="00E34859"/>
    <w:rsid w:val="00E34B4D"/>
    <w:rsid w:val="00E34B62"/>
    <w:rsid w:val="00E34B6E"/>
    <w:rsid w:val="00E35559"/>
    <w:rsid w:val="00E3604D"/>
    <w:rsid w:val="00E36CCD"/>
    <w:rsid w:val="00E3723A"/>
    <w:rsid w:val="00E37860"/>
    <w:rsid w:val="00E37B16"/>
    <w:rsid w:val="00E3CDCF"/>
    <w:rsid w:val="00E4318C"/>
    <w:rsid w:val="00E446F1"/>
    <w:rsid w:val="00E46886"/>
    <w:rsid w:val="00E47AEF"/>
    <w:rsid w:val="00E47E74"/>
    <w:rsid w:val="00E50C3E"/>
    <w:rsid w:val="00E53B75"/>
    <w:rsid w:val="00E54E3B"/>
    <w:rsid w:val="00E57565"/>
    <w:rsid w:val="00E623F5"/>
    <w:rsid w:val="00E623FF"/>
    <w:rsid w:val="00E63838"/>
    <w:rsid w:val="00E63C8E"/>
    <w:rsid w:val="00E642CE"/>
    <w:rsid w:val="00E64434"/>
    <w:rsid w:val="00E67C51"/>
    <w:rsid w:val="00E7006F"/>
    <w:rsid w:val="00E70F42"/>
    <w:rsid w:val="00E72EFC"/>
    <w:rsid w:val="00E758EC"/>
    <w:rsid w:val="00E779D1"/>
    <w:rsid w:val="00E821A8"/>
    <w:rsid w:val="00E8234C"/>
    <w:rsid w:val="00E83AA9"/>
    <w:rsid w:val="00E85928"/>
    <w:rsid w:val="00E85D72"/>
    <w:rsid w:val="00E87822"/>
    <w:rsid w:val="00E90395"/>
    <w:rsid w:val="00E90E49"/>
    <w:rsid w:val="00E917F9"/>
    <w:rsid w:val="00E92306"/>
    <w:rsid w:val="00E9291C"/>
    <w:rsid w:val="00E92A36"/>
    <w:rsid w:val="00E92D33"/>
    <w:rsid w:val="00E93FFE"/>
    <w:rsid w:val="00E94F8A"/>
    <w:rsid w:val="00E96808"/>
    <w:rsid w:val="00E9701F"/>
    <w:rsid w:val="00EA02D3"/>
    <w:rsid w:val="00EA4403"/>
    <w:rsid w:val="00EA7A41"/>
    <w:rsid w:val="00EB077B"/>
    <w:rsid w:val="00EB27EF"/>
    <w:rsid w:val="00EB34F6"/>
    <w:rsid w:val="00EB4151"/>
    <w:rsid w:val="00EB4EA2"/>
    <w:rsid w:val="00EB710E"/>
    <w:rsid w:val="00EB782E"/>
    <w:rsid w:val="00EC0CFD"/>
    <w:rsid w:val="00EC20F6"/>
    <w:rsid w:val="00EC24D5"/>
    <w:rsid w:val="00EC27C6"/>
    <w:rsid w:val="00EC4207"/>
    <w:rsid w:val="00EC4431"/>
    <w:rsid w:val="00EC4447"/>
    <w:rsid w:val="00EC5653"/>
    <w:rsid w:val="00EC71CE"/>
    <w:rsid w:val="00EC790D"/>
    <w:rsid w:val="00ED1006"/>
    <w:rsid w:val="00ED1B51"/>
    <w:rsid w:val="00ED3972"/>
    <w:rsid w:val="00ED3AB9"/>
    <w:rsid w:val="00ED47B5"/>
    <w:rsid w:val="00ED6497"/>
    <w:rsid w:val="00EE0BEF"/>
    <w:rsid w:val="00EE2606"/>
    <w:rsid w:val="00EE3BA1"/>
    <w:rsid w:val="00EE41E7"/>
    <w:rsid w:val="00EE45DD"/>
    <w:rsid w:val="00EE4E4B"/>
    <w:rsid w:val="00EE53E8"/>
    <w:rsid w:val="00EF18FE"/>
    <w:rsid w:val="00EF229A"/>
    <w:rsid w:val="00EF5787"/>
    <w:rsid w:val="00EF60D0"/>
    <w:rsid w:val="00EF7252"/>
    <w:rsid w:val="00F00C6F"/>
    <w:rsid w:val="00F02DEC"/>
    <w:rsid w:val="00F050D7"/>
    <w:rsid w:val="00F0528D"/>
    <w:rsid w:val="00F054F5"/>
    <w:rsid w:val="00F06C67"/>
    <w:rsid w:val="00F06DFD"/>
    <w:rsid w:val="00F071D1"/>
    <w:rsid w:val="00F07533"/>
    <w:rsid w:val="00F10629"/>
    <w:rsid w:val="00F106A2"/>
    <w:rsid w:val="00F1148D"/>
    <w:rsid w:val="00F14CF7"/>
    <w:rsid w:val="00F15F7E"/>
    <w:rsid w:val="00F15FA5"/>
    <w:rsid w:val="00F17777"/>
    <w:rsid w:val="00F2052A"/>
    <w:rsid w:val="00F209B7"/>
    <w:rsid w:val="00F2376F"/>
    <w:rsid w:val="00F243D8"/>
    <w:rsid w:val="00F26F4F"/>
    <w:rsid w:val="00F30828"/>
    <w:rsid w:val="00F313D6"/>
    <w:rsid w:val="00F32C64"/>
    <w:rsid w:val="00F341EF"/>
    <w:rsid w:val="00F37EFB"/>
    <w:rsid w:val="00F40F0C"/>
    <w:rsid w:val="00F473BA"/>
    <w:rsid w:val="00F4766C"/>
    <w:rsid w:val="00F47B77"/>
    <w:rsid w:val="00F5060E"/>
    <w:rsid w:val="00F507D1"/>
    <w:rsid w:val="00F50875"/>
    <w:rsid w:val="00F519CE"/>
    <w:rsid w:val="00F51ADA"/>
    <w:rsid w:val="00F51F87"/>
    <w:rsid w:val="00F5237B"/>
    <w:rsid w:val="00F56100"/>
    <w:rsid w:val="00F56401"/>
    <w:rsid w:val="00F575F3"/>
    <w:rsid w:val="00F60203"/>
    <w:rsid w:val="00F607C5"/>
    <w:rsid w:val="00F60DEA"/>
    <w:rsid w:val="00F61586"/>
    <w:rsid w:val="00F6302A"/>
    <w:rsid w:val="00F63950"/>
    <w:rsid w:val="00F63E6F"/>
    <w:rsid w:val="00F64C2B"/>
    <w:rsid w:val="00F64E96"/>
    <w:rsid w:val="00F651BE"/>
    <w:rsid w:val="00F67F53"/>
    <w:rsid w:val="00F703BE"/>
    <w:rsid w:val="00F718CB"/>
    <w:rsid w:val="00F71F69"/>
    <w:rsid w:val="00F72B72"/>
    <w:rsid w:val="00F72C83"/>
    <w:rsid w:val="00F74BB9"/>
    <w:rsid w:val="00F75582"/>
    <w:rsid w:val="00F76EFA"/>
    <w:rsid w:val="00F77A4A"/>
    <w:rsid w:val="00F804BE"/>
    <w:rsid w:val="00F817CE"/>
    <w:rsid w:val="00F83578"/>
    <w:rsid w:val="00F8456C"/>
    <w:rsid w:val="00F84F43"/>
    <w:rsid w:val="00F859D8"/>
    <w:rsid w:val="00F868F5"/>
    <w:rsid w:val="00F9056A"/>
    <w:rsid w:val="00F90F8D"/>
    <w:rsid w:val="00F92782"/>
    <w:rsid w:val="00F93AA9"/>
    <w:rsid w:val="00F943D2"/>
    <w:rsid w:val="00F96985"/>
    <w:rsid w:val="00F97838"/>
    <w:rsid w:val="00F97A62"/>
    <w:rsid w:val="00FA1199"/>
    <w:rsid w:val="00FA2BB3"/>
    <w:rsid w:val="00FA45DB"/>
    <w:rsid w:val="00FA55E1"/>
    <w:rsid w:val="00FB330E"/>
    <w:rsid w:val="00FB4C80"/>
    <w:rsid w:val="00FB4FA8"/>
    <w:rsid w:val="00FB6A6A"/>
    <w:rsid w:val="00FB7078"/>
    <w:rsid w:val="00FC5DAD"/>
    <w:rsid w:val="00FC7429"/>
    <w:rsid w:val="00FD010A"/>
    <w:rsid w:val="00FD07F6"/>
    <w:rsid w:val="00FD1D8D"/>
    <w:rsid w:val="00FD1EC8"/>
    <w:rsid w:val="00FD47ED"/>
    <w:rsid w:val="00FD74DB"/>
    <w:rsid w:val="00FD7660"/>
    <w:rsid w:val="00FE0655"/>
    <w:rsid w:val="00FE2011"/>
    <w:rsid w:val="00FE21A5"/>
    <w:rsid w:val="00FE2365"/>
    <w:rsid w:val="00FE37D7"/>
    <w:rsid w:val="00FE3B72"/>
    <w:rsid w:val="00FE4C7B"/>
    <w:rsid w:val="00FE7336"/>
    <w:rsid w:val="00FE74BB"/>
    <w:rsid w:val="00FE787C"/>
    <w:rsid w:val="00FF441E"/>
    <w:rsid w:val="00FF45A5"/>
    <w:rsid w:val="00FF4EBE"/>
    <w:rsid w:val="00FF5247"/>
    <w:rsid w:val="00FF5C91"/>
    <w:rsid w:val="00FF7333"/>
    <w:rsid w:val="00FF7A51"/>
    <w:rsid w:val="056903E1"/>
    <w:rsid w:val="0736EB3B"/>
    <w:rsid w:val="08786FD0"/>
    <w:rsid w:val="0915EEE9"/>
    <w:rsid w:val="0A765580"/>
    <w:rsid w:val="0C9C755B"/>
    <w:rsid w:val="0F591580"/>
    <w:rsid w:val="0F8F614E"/>
    <w:rsid w:val="1CFC4EF1"/>
    <w:rsid w:val="1E23A25F"/>
    <w:rsid w:val="1E4CC2DE"/>
    <w:rsid w:val="1E61A6D0"/>
    <w:rsid w:val="20E50B8D"/>
    <w:rsid w:val="23B8BC8F"/>
    <w:rsid w:val="23BF7B25"/>
    <w:rsid w:val="24F07957"/>
    <w:rsid w:val="2C76DE36"/>
    <w:rsid w:val="2D1DE4A6"/>
    <w:rsid w:val="2D45DBC1"/>
    <w:rsid w:val="2DAB511A"/>
    <w:rsid w:val="2E299232"/>
    <w:rsid w:val="2F51CAB1"/>
    <w:rsid w:val="30E96B36"/>
    <w:rsid w:val="32DE7C08"/>
    <w:rsid w:val="33583880"/>
    <w:rsid w:val="3BCA57F4"/>
    <w:rsid w:val="3E21CC78"/>
    <w:rsid w:val="3EF3D099"/>
    <w:rsid w:val="3FF7DAF2"/>
    <w:rsid w:val="4082BEA7"/>
    <w:rsid w:val="44D49F50"/>
    <w:rsid w:val="470F3120"/>
    <w:rsid w:val="4E1D5F10"/>
    <w:rsid w:val="4E87FD5A"/>
    <w:rsid w:val="5155E5A3"/>
    <w:rsid w:val="54F302D6"/>
    <w:rsid w:val="58426629"/>
    <w:rsid w:val="59A76F96"/>
    <w:rsid w:val="5BBB5FEC"/>
    <w:rsid w:val="620F4CE4"/>
    <w:rsid w:val="6318FBDA"/>
    <w:rsid w:val="6418D3F7"/>
    <w:rsid w:val="65F43283"/>
    <w:rsid w:val="66520FD4"/>
    <w:rsid w:val="67925E0A"/>
    <w:rsid w:val="6A068406"/>
    <w:rsid w:val="6A323D90"/>
    <w:rsid w:val="6A9A73EC"/>
    <w:rsid w:val="6ABE453B"/>
    <w:rsid w:val="6AF1F733"/>
    <w:rsid w:val="6D8A0C23"/>
    <w:rsid w:val="6F977270"/>
    <w:rsid w:val="6F9BFF36"/>
    <w:rsid w:val="71289D0E"/>
    <w:rsid w:val="75234048"/>
    <w:rsid w:val="76F513F0"/>
    <w:rsid w:val="79011291"/>
    <w:rsid w:val="7C39AF3B"/>
    <w:rsid w:val="7C3BE0C5"/>
    <w:rsid w:val="7C6588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071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6C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821A8"/>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821A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821A8"/>
    <w:pPr>
      <w:numPr>
        <w:ilvl w:val="2"/>
      </w:numPr>
      <w:spacing w:before="120"/>
      <w:outlineLvl w:val="2"/>
    </w:pPr>
    <w:rPr>
      <w:sz w:val="28"/>
    </w:rPr>
  </w:style>
  <w:style w:type="paragraph" w:styleId="Heading4">
    <w:name w:val="heading 4"/>
    <w:basedOn w:val="Heading3"/>
    <w:next w:val="Normal"/>
    <w:link w:val="Heading4Char"/>
    <w:qFormat/>
    <w:rsid w:val="00E821A8"/>
    <w:pPr>
      <w:numPr>
        <w:ilvl w:val="3"/>
      </w:numPr>
      <w:outlineLvl w:val="3"/>
    </w:pPr>
    <w:rPr>
      <w:sz w:val="24"/>
    </w:rPr>
  </w:style>
  <w:style w:type="paragraph" w:styleId="Heading5">
    <w:name w:val="heading 5"/>
    <w:basedOn w:val="Heading4"/>
    <w:next w:val="Normal"/>
    <w:link w:val="Heading5Char"/>
    <w:qFormat/>
    <w:rsid w:val="00E821A8"/>
    <w:pPr>
      <w:numPr>
        <w:ilvl w:val="4"/>
      </w:numPr>
      <w:outlineLvl w:val="4"/>
    </w:pPr>
    <w:rPr>
      <w:sz w:val="22"/>
    </w:rPr>
  </w:style>
  <w:style w:type="paragraph" w:styleId="Heading6">
    <w:name w:val="heading 6"/>
    <w:basedOn w:val="H6"/>
    <w:next w:val="Normal"/>
    <w:link w:val="Heading6Char"/>
    <w:qFormat/>
    <w:rsid w:val="00E821A8"/>
    <w:pPr>
      <w:numPr>
        <w:ilvl w:val="5"/>
      </w:numPr>
      <w:outlineLvl w:val="5"/>
    </w:pPr>
  </w:style>
  <w:style w:type="paragraph" w:styleId="Heading7">
    <w:name w:val="heading 7"/>
    <w:basedOn w:val="H6"/>
    <w:next w:val="Normal"/>
    <w:link w:val="Heading7Char"/>
    <w:qFormat/>
    <w:rsid w:val="00E821A8"/>
    <w:pPr>
      <w:numPr>
        <w:ilvl w:val="6"/>
      </w:numPr>
      <w:outlineLvl w:val="6"/>
    </w:pPr>
  </w:style>
  <w:style w:type="paragraph" w:styleId="Heading8">
    <w:name w:val="heading 8"/>
    <w:basedOn w:val="Heading1"/>
    <w:next w:val="Normal"/>
    <w:link w:val="Heading8Char"/>
    <w:qFormat/>
    <w:rsid w:val="00E821A8"/>
    <w:pPr>
      <w:numPr>
        <w:ilvl w:val="7"/>
      </w:numPr>
      <w:outlineLvl w:val="7"/>
    </w:pPr>
  </w:style>
  <w:style w:type="paragraph" w:styleId="Heading9">
    <w:name w:val="heading 9"/>
    <w:basedOn w:val="Heading8"/>
    <w:next w:val="Normal"/>
    <w:link w:val="Heading9Char"/>
    <w:qFormat/>
    <w:rsid w:val="00E821A8"/>
    <w:pPr>
      <w:numPr>
        <w:ilvl w:val="8"/>
      </w:numPr>
      <w:outlineLvl w:val="8"/>
    </w:pPr>
  </w:style>
  <w:style w:type="character" w:default="1" w:styleId="DefaultParagraphFont">
    <w:name w:val="Default Paragraph Font"/>
    <w:uiPriority w:val="1"/>
    <w:semiHidden/>
    <w:unhideWhenUsed/>
    <w:rsid w:val="00092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26C4"/>
  </w:style>
  <w:style w:type="paragraph" w:styleId="TOC8">
    <w:name w:val="toc 8"/>
    <w:basedOn w:val="TOC1"/>
    <w:uiPriority w:val="39"/>
    <w:rsid w:val="00E821A8"/>
    <w:pPr>
      <w:spacing w:before="180"/>
      <w:ind w:left="2693" w:hanging="2693"/>
    </w:pPr>
    <w:rPr>
      <w:b/>
    </w:rPr>
  </w:style>
  <w:style w:type="paragraph" w:styleId="TOC1">
    <w:name w:val="toc 1"/>
    <w:uiPriority w:val="39"/>
    <w:rsid w:val="00E821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21A8"/>
    <w:pPr>
      <w:keepNext/>
      <w:keepLines/>
      <w:spacing w:before="180"/>
      <w:jc w:val="center"/>
    </w:pPr>
  </w:style>
  <w:style w:type="paragraph" w:styleId="Caption">
    <w:name w:val="caption"/>
    <w:basedOn w:val="Normal"/>
    <w:next w:val="Normal"/>
    <w:qFormat/>
    <w:rsid w:val="00E821A8"/>
    <w:pPr>
      <w:spacing w:before="120" w:after="120"/>
    </w:pPr>
    <w:rPr>
      <w:b/>
      <w:lang w:eastAsia="en-GB"/>
    </w:rPr>
  </w:style>
  <w:style w:type="paragraph" w:styleId="TOC5">
    <w:name w:val="toc 5"/>
    <w:basedOn w:val="TOC4"/>
    <w:uiPriority w:val="39"/>
    <w:rsid w:val="00E821A8"/>
    <w:pPr>
      <w:ind w:left="1701" w:hanging="1701"/>
    </w:pPr>
  </w:style>
  <w:style w:type="paragraph" w:styleId="TOC4">
    <w:name w:val="toc 4"/>
    <w:basedOn w:val="TOC3"/>
    <w:uiPriority w:val="39"/>
    <w:rsid w:val="00E821A8"/>
    <w:pPr>
      <w:ind w:left="1418" w:hanging="1418"/>
    </w:pPr>
  </w:style>
  <w:style w:type="paragraph" w:styleId="TOC3">
    <w:name w:val="toc 3"/>
    <w:basedOn w:val="TOC2"/>
    <w:uiPriority w:val="39"/>
    <w:rsid w:val="00E821A8"/>
    <w:pPr>
      <w:ind w:left="1134" w:hanging="1134"/>
    </w:pPr>
  </w:style>
  <w:style w:type="paragraph" w:styleId="TOC2">
    <w:name w:val="toc 2"/>
    <w:basedOn w:val="TOC1"/>
    <w:uiPriority w:val="39"/>
    <w:rsid w:val="00E821A8"/>
    <w:pPr>
      <w:keepNext w:val="0"/>
      <w:spacing w:before="0"/>
      <w:ind w:left="851" w:hanging="851"/>
    </w:pPr>
    <w:rPr>
      <w:sz w:val="20"/>
    </w:rPr>
  </w:style>
  <w:style w:type="paragraph" w:styleId="Index2">
    <w:name w:val="index 2"/>
    <w:basedOn w:val="Index1"/>
    <w:rsid w:val="00E821A8"/>
    <w:pPr>
      <w:ind w:left="284"/>
    </w:pPr>
  </w:style>
  <w:style w:type="paragraph" w:styleId="Index1">
    <w:name w:val="index 1"/>
    <w:basedOn w:val="Normal"/>
    <w:rsid w:val="00E821A8"/>
    <w:pPr>
      <w:keepLines/>
      <w:spacing w:after="0"/>
    </w:pPr>
  </w:style>
  <w:style w:type="paragraph" w:styleId="DocumentMap">
    <w:name w:val="Document Map"/>
    <w:basedOn w:val="Normal"/>
    <w:link w:val="DocumentMapChar"/>
    <w:rsid w:val="00E821A8"/>
    <w:pPr>
      <w:shd w:val="clear" w:color="auto" w:fill="000080"/>
    </w:pPr>
    <w:rPr>
      <w:rFonts w:ascii="Tahoma" w:hAnsi="Tahoma" w:cs="Tahoma"/>
    </w:rPr>
  </w:style>
  <w:style w:type="paragraph" w:styleId="ListNumber2">
    <w:name w:val="List Number 2"/>
    <w:basedOn w:val="ListNumber"/>
    <w:rsid w:val="00E821A8"/>
    <w:pPr>
      <w:numPr>
        <w:numId w:val="12"/>
      </w:numPr>
    </w:pPr>
  </w:style>
  <w:style w:type="paragraph" w:styleId="ListNumber">
    <w:name w:val="List Number"/>
    <w:basedOn w:val="List"/>
    <w:rsid w:val="00E821A8"/>
    <w:pPr>
      <w:numPr>
        <w:numId w:val="11"/>
      </w:numPr>
    </w:pPr>
    <w:rPr>
      <w:lang w:eastAsia="ja-JP"/>
    </w:rPr>
  </w:style>
  <w:style w:type="paragraph" w:styleId="List">
    <w:name w:val="List"/>
    <w:basedOn w:val="BodyText"/>
    <w:rsid w:val="00E821A8"/>
    <w:pPr>
      <w:ind w:left="568" w:hanging="284"/>
    </w:pPr>
  </w:style>
  <w:style w:type="paragraph" w:styleId="Header">
    <w:name w:val="header"/>
    <w:link w:val="HeaderChar"/>
    <w:rsid w:val="00E821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21A8"/>
    <w:rPr>
      <w:b/>
      <w:position w:val="6"/>
      <w:sz w:val="16"/>
    </w:rPr>
  </w:style>
  <w:style w:type="paragraph" w:styleId="FootnoteText">
    <w:name w:val="footnote text"/>
    <w:basedOn w:val="Normal"/>
    <w:link w:val="FootnoteTextChar"/>
    <w:rsid w:val="00E821A8"/>
    <w:pPr>
      <w:keepLines/>
      <w:spacing w:after="0"/>
      <w:ind w:left="454" w:hanging="454"/>
    </w:pPr>
    <w:rPr>
      <w:sz w:val="16"/>
    </w:rPr>
  </w:style>
  <w:style w:type="paragraph" w:customStyle="1" w:styleId="3GPPHeader">
    <w:name w:val="3GPP_Header"/>
    <w:basedOn w:val="BodyText"/>
    <w:rsid w:val="00E821A8"/>
    <w:pPr>
      <w:tabs>
        <w:tab w:val="left" w:pos="1701"/>
        <w:tab w:val="right" w:pos="9639"/>
      </w:tabs>
      <w:spacing w:after="240"/>
    </w:pPr>
    <w:rPr>
      <w:b/>
      <w:sz w:val="24"/>
    </w:rPr>
  </w:style>
  <w:style w:type="paragraph" w:styleId="TOC9">
    <w:name w:val="toc 9"/>
    <w:basedOn w:val="TOC8"/>
    <w:uiPriority w:val="39"/>
    <w:rsid w:val="00E821A8"/>
    <w:pPr>
      <w:ind w:left="1418" w:hanging="1418"/>
    </w:pPr>
  </w:style>
  <w:style w:type="paragraph" w:styleId="TOC6">
    <w:name w:val="toc 6"/>
    <w:basedOn w:val="TOC5"/>
    <w:next w:val="Normal"/>
    <w:uiPriority w:val="39"/>
    <w:rsid w:val="00E821A8"/>
    <w:pPr>
      <w:ind w:left="1985" w:hanging="1985"/>
    </w:pPr>
  </w:style>
  <w:style w:type="paragraph" w:styleId="TOC7">
    <w:name w:val="toc 7"/>
    <w:basedOn w:val="TOC6"/>
    <w:next w:val="Normal"/>
    <w:uiPriority w:val="39"/>
    <w:rsid w:val="00E821A8"/>
    <w:pPr>
      <w:ind w:left="2268" w:hanging="2268"/>
    </w:pPr>
  </w:style>
  <w:style w:type="paragraph" w:styleId="ListBullet2">
    <w:name w:val="List Bullet 2"/>
    <w:basedOn w:val="ListBullet"/>
    <w:rsid w:val="00E821A8"/>
    <w:pPr>
      <w:numPr>
        <w:numId w:val="7"/>
      </w:numPr>
    </w:pPr>
  </w:style>
  <w:style w:type="paragraph" w:styleId="ListBullet">
    <w:name w:val="List Bullet"/>
    <w:basedOn w:val="List"/>
    <w:rsid w:val="00E821A8"/>
    <w:pPr>
      <w:numPr>
        <w:numId w:val="6"/>
      </w:numPr>
    </w:pPr>
    <w:rPr>
      <w:lang w:eastAsia="ja-JP"/>
    </w:rPr>
  </w:style>
  <w:style w:type="paragraph" w:styleId="ListBullet3">
    <w:name w:val="List Bullet 3"/>
    <w:basedOn w:val="ListBullet2"/>
    <w:rsid w:val="00E821A8"/>
    <w:pPr>
      <w:numPr>
        <w:numId w:val="8"/>
      </w:numPr>
    </w:pPr>
  </w:style>
  <w:style w:type="paragraph" w:customStyle="1" w:styleId="EQ">
    <w:name w:val="EQ"/>
    <w:basedOn w:val="Normal"/>
    <w:next w:val="Normal"/>
    <w:rsid w:val="00E821A8"/>
    <w:pPr>
      <w:keepLines/>
      <w:tabs>
        <w:tab w:val="center" w:pos="4536"/>
        <w:tab w:val="right" w:pos="9072"/>
      </w:tabs>
    </w:pPr>
    <w:rPr>
      <w:noProof/>
    </w:rPr>
  </w:style>
  <w:style w:type="paragraph" w:styleId="List2">
    <w:name w:val="List 2"/>
    <w:basedOn w:val="List"/>
    <w:rsid w:val="00E821A8"/>
    <w:pPr>
      <w:ind w:left="851"/>
    </w:pPr>
    <w:rPr>
      <w:lang w:eastAsia="ja-JP"/>
    </w:rPr>
  </w:style>
  <w:style w:type="paragraph" w:styleId="List3">
    <w:name w:val="List 3"/>
    <w:basedOn w:val="List2"/>
    <w:rsid w:val="00E821A8"/>
    <w:pPr>
      <w:ind w:left="1135"/>
    </w:pPr>
  </w:style>
  <w:style w:type="paragraph" w:styleId="List4">
    <w:name w:val="List 4"/>
    <w:basedOn w:val="List3"/>
    <w:rsid w:val="00E821A8"/>
    <w:pPr>
      <w:ind w:left="1418"/>
    </w:pPr>
  </w:style>
  <w:style w:type="paragraph" w:styleId="List5">
    <w:name w:val="List 5"/>
    <w:basedOn w:val="List4"/>
    <w:rsid w:val="00E821A8"/>
    <w:pPr>
      <w:ind w:left="1702"/>
    </w:pPr>
  </w:style>
  <w:style w:type="paragraph" w:customStyle="1" w:styleId="EditorsNote">
    <w:name w:val="Editor's Note"/>
    <w:basedOn w:val="NO"/>
    <w:link w:val="EditorsNoteChar"/>
    <w:rsid w:val="00E821A8"/>
    <w:rPr>
      <w:color w:val="FF0000"/>
      <w:lang w:val="x-none" w:eastAsia="x-none"/>
    </w:rPr>
  </w:style>
  <w:style w:type="paragraph" w:styleId="ListBullet4">
    <w:name w:val="List Bullet 4"/>
    <w:basedOn w:val="ListBullet3"/>
    <w:rsid w:val="00E821A8"/>
    <w:pPr>
      <w:numPr>
        <w:numId w:val="9"/>
      </w:numPr>
    </w:pPr>
  </w:style>
  <w:style w:type="paragraph" w:styleId="ListBullet5">
    <w:name w:val="List Bullet 5"/>
    <w:basedOn w:val="ListBullet4"/>
    <w:rsid w:val="00E821A8"/>
    <w:pPr>
      <w:numPr>
        <w:numId w:val="10"/>
      </w:numPr>
    </w:pPr>
  </w:style>
  <w:style w:type="paragraph" w:styleId="Footer">
    <w:name w:val="footer"/>
    <w:basedOn w:val="Header"/>
    <w:link w:val="FooterChar"/>
    <w:rsid w:val="00E821A8"/>
    <w:pPr>
      <w:jc w:val="center"/>
    </w:pPr>
    <w:rPr>
      <w:i/>
    </w:rPr>
  </w:style>
  <w:style w:type="paragraph" w:customStyle="1" w:styleId="Reference">
    <w:name w:val="Reference"/>
    <w:basedOn w:val="BodyText"/>
    <w:rsid w:val="00E821A8"/>
    <w:pPr>
      <w:numPr>
        <w:numId w:val="1"/>
      </w:numPr>
    </w:pPr>
  </w:style>
  <w:style w:type="paragraph" w:styleId="BalloonText">
    <w:name w:val="Balloon Text"/>
    <w:basedOn w:val="Normal"/>
    <w:link w:val="BalloonTextChar"/>
    <w:rsid w:val="00E821A8"/>
    <w:pPr>
      <w:spacing w:after="0"/>
    </w:pPr>
    <w:rPr>
      <w:rFonts w:ascii="Segoe UI" w:hAnsi="Segoe UI" w:cs="Segoe UI"/>
      <w:sz w:val="18"/>
      <w:szCs w:val="18"/>
    </w:rPr>
  </w:style>
  <w:style w:type="character" w:styleId="PageNumber">
    <w:name w:val="page number"/>
    <w:basedOn w:val="DefaultParagraphFont"/>
    <w:rsid w:val="00E821A8"/>
  </w:style>
  <w:style w:type="paragraph" w:styleId="BodyText">
    <w:name w:val="Body Text"/>
    <w:basedOn w:val="Normal"/>
    <w:link w:val="BodyTextChar"/>
    <w:rsid w:val="00E821A8"/>
    <w:pPr>
      <w:spacing w:after="120"/>
      <w:jc w:val="both"/>
    </w:pPr>
    <w:rPr>
      <w:rFonts w:ascii="Arial" w:hAnsi="Arial"/>
    </w:rPr>
  </w:style>
  <w:style w:type="character" w:styleId="Hyperlink">
    <w:name w:val="Hyperlink"/>
    <w:uiPriority w:val="99"/>
    <w:rsid w:val="00E821A8"/>
    <w:rPr>
      <w:color w:val="0000FF"/>
      <w:u w:val="single"/>
    </w:rPr>
  </w:style>
  <w:style w:type="character" w:styleId="FollowedHyperlink">
    <w:name w:val="FollowedHyperlink"/>
    <w:unhideWhenUsed/>
    <w:rsid w:val="00E821A8"/>
    <w:rPr>
      <w:color w:val="800080"/>
      <w:u w:val="single"/>
    </w:rPr>
  </w:style>
  <w:style w:type="character" w:styleId="CommentReference">
    <w:name w:val="annotation reference"/>
    <w:uiPriority w:val="99"/>
    <w:qFormat/>
    <w:rsid w:val="00E821A8"/>
    <w:rPr>
      <w:sz w:val="16"/>
      <w:szCs w:val="16"/>
    </w:rPr>
  </w:style>
  <w:style w:type="paragraph" w:styleId="CommentText">
    <w:name w:val="annotation text"/>
    <w:basedOn w:val="Normal"/>
    <w:link w:val="CommentTextChar"/>
    <w:uiPriority w:val="99"/>
    <w:qFormat/>
    <w:rsid w:val="00E821A8"/>
  </w:style>
  <w:style w:type="paragraph" w:styleId="CommentSubject">
    <w:name w:val="annotation subject"/>
    <w:basedOn w:val="CommentText"/>
    <w:next w:val="CommentText"/>
    <w:link w:val="CommentSubjectChar"/>
    <w:rsid w:val="00E821A8"/>
    <w:rPr>
      <w:b/>
      <w:bCs/>
    </w:rPr>
  </w:style>
  <w:style w:type="character" w:customStyle="1" w:styleId="Heading1Char">
    <w:name w:val="Heading 1 Char"/>
    <w:link w:val="Heading1"/>
    <w:rsid w:val="00E821A8"/>
    <w:rPr>
      <w:rFonts w:ascii="Arial" w:hAnsi="Arial"/>
      <w:sz w:val="36"/>
      <w:lang w:eastAsia="ja-JP"/>
    </w:rPr>
  </w:style>
  <w:style w:type="paragraph" w:customStyle="1" w:styleId="B1">
    <w:name w:val="B1"/>
    <w:basedOn w:val="List"/>
    <w:link w:val="B1Char1"/>
    <w:rsid w:val="00E821A8"/>
    <w:rPr>
      <w:rFonts w:ascii="Times New Roman" w:hAnsi="Times New Roman"/>
    </w:rPr>
  </w:style>
  <w:style w:type="paragraph" w:customStyle="1" w:styleId="B2">
    <w:name w:val="B2"/>
    <w:basedOn w:val="List2"/>
    <w:link w:val="B2Char"/>
    <w:rsid w:val="00E821A8"/>
    <w:rPr>
      <w:rFonts w:ascii="Times New Roman" w:hAnsi="Times New Roman"/>
    </w:rPr>
  </w:style>
  <w:style w:type="paragraph" w:customStyle="1" w:styleId="B3">
    <w:name w:val="B3"/>
    <w:basedOn w:val="List3"/>
    <w:link w:val="B3Char2"/>
    <w:rsid w:val="00E821A8"/>
    <w:rPr>
      <w:rFonts w:ascii="Times New Roman" w:hAnsi="Times New Roman"/>
    </w:rPr>
  </w:style>
  <w:style w:type="paragraph" w:customStyle="1" w:styleId="B4">
    <w:name w:val="B4"/>
    <w:basedOn w:val="List4"/>
    <w:link w:val="B4Char"/>
    <w:rsid w:val="00E821A8"/>
    <w:rPr>
      <w:rFonts w:ascii="Times New Roman" w:hAnsi="Times New Roman"/>
    </w:rPr>
  </w:style>
  <w:style w:type="paragraph" w:customStyle="1" w:styleId="Proposal">
    <w:name w:val="Proposal"/>
    <w:basedOn w:val="BodyText"/>
    <w:qFormat/>
    <w:rsid w:val="00E821A8"/>
    <w:pPr>
      <w:numPr>
        <w:numId w:val="2"/>
      </w:numPr>
      <w:tabs>
        <w:tab w:val="left" w:pos="1701"/>
      </w:tabs>
    </w:pPr>
    <w:rPr>
      <w:b/>
      <w:bCs/>
    </w:rPr>
  </w:style>
  <w:style w:type="character" w:customStyle="1" w:styleId="BodyTextChar">
    <w:name w:val="Body Text Char"/>
    <w:link w:val="BodyText"/>
    <w:rsid w:val="00E821A8"/>
    <w:rPr>
      <w:rFonts w:ascii="Arial" w:hAnsi="Arial"/>
      <w:lang w:eastAsia="zh-CN"/>
    </w:rPr>
  </w:style>
  <w:style w:type="paragraph" w:customStyle="1" w:styleId="B5">
    <w:name w:val="B5"/>
    <w:basedOn w:val="List5"/>
    <w:link w:val="B5Char"/>
    <w:rsid w:val="00E821A8"/>
    <w:rPr>
      <w:rFonts w:ascii="Times New Roman" w:hAnsi="Times New Roman"/>
    </w:rPr>
  </w:style>
  <w:style w:type="paragraph" w:customStyle="1" w:styleId="EX">
    <w:name w:val="EX"/>
    <w:basedOn w:val="Normal"/>
    <w:rsid w:val="00E821A8"/>
    <w:pPr>
      <w:keepLines/>
      <w:ind w:left="1702" w:hanging="1418"/>
    </w:pPr>
  </w:style>
  <w:style w:type="paragraph" w:customStyle="1" w:styleId="EW">
    <w:name w:val="EW"/>
    <w:basedOn w:val="EX"/>
    <w:rsid w:val="00E821A8"/>
    <w:pPr>
      <w:spacing w:after="0"/>
    </w:pPr>
  </w:style>
  <w:style w:type="paragraph" w:customStyle="1" w:styleId="TAL">
    <w:name w:val="TAL"/>
    <w:basedOn w:val="Normal"/>
    <w:link w:val="TALCar"/>
    <w:rsid w:val="00E821A8"/>
    <w:pPr>
      <w:keepNext/>
      <w:keepLines/>
      <w:spacing w:after="0"/>
    </w:pPr>
    <w:rPr>
      <w:rFonts w:ascii="Arial" w:hAnsi="Arial"/>
      <w:sz w:val="18"/>
      <w:lang w:val="x-none" w:eastAsia="x-none"/>
    </w:rPr>
  </w:style>
  <w:style w:type="paragraph" w:customStyle="1" w:styleId="TAC">
    <w:name w:val="TAC"/>
    <w:basedOn w:val="TAL"/>
    <w:link w:val="TACChar"/>
    <w:qFormat/>
    <w:rsid w:val="00E821A8"/>
    <w:pPr>
      <w:jc w:val="center"/>
    </w:pPr>
  </w:style>
  <w:style w:type="paragraph" w:customStyle="1" w:styleId="TAH">
    <w:name w:val="TAH"/>
    <w:basedOn w:val="TAC"/>
    <w:link w:val="TAHCar"/>
    <w:rsid w:val="00E821A8"/>
    <w:rPr>
      <w:b/>
    </w:rPr>
  </w:style>
  <w:style w:type="paragraph" w:customStyle="1" w:styleId="TAN">
    <w:name w:val="TAN"/>
    <w:basedOn w:val="TAL"/>
    <w:rsid w:val="00E821A8"/>
    <w:pPr>
      <w:ind w:left="851" w:hanging="851"/>
    </w:pPr>
  </w:style>
  <w:style w:type="paragraph" w:customStyle="1" w:styleId="TAR">
    <w:name w:val="TAR"/>
    <w:basedOn w:val="TAL"/>
    <w:rsid w:val="00E821A8"/>
    <w:pPr>
      <w:jc w:val="right"/>
    </w:pPr>
  </w:style>
  <w:style w:type="paragraph" w:customStyle="1" w:styleId="TH">
    <w:name w:val="TH"/>
    <w:basedOn w:val="Normal"/>
    <w:link w:val="THChar"/>
    <w:rsid w:val="00E821A8"/>
    <w:pPr>
      <w:keepNext/>
      <w:keepLines/>
      <w:spacing w:before="60"/>
      <w:jc w:val="center"/>
    </w:pPr>
    <w:rPr>
      <w:rFonts w:ascii="Arial" w:hAnsi="Arial"/>
      <w:b/>
      <w:lang w:val="x-none" w:eastAsia="x-none"/>
    </w:rPr>
  </w:style>
  <w:style w:type="paragraph" w:customStyle="1" w:styleId="TF">
    <w:name w:val="TF"/>
    <w:basedOn w:val="TH"/>
    <w:link w:val="TFChar"/>
    <w:rsid w:val="00E821A8"/>
    <w:pPr>
      <w:keepNext w:val="0"/>
      <w:spacing w:before="0" w:after="240"/>
    </w:pPr>
  </w:style>
  <w:style w:type="paragraph" w:customStyle="1" w:styleId="TT">
    <w:name w:val="TT"/>
    <w:basedOn w:val="Heading1"/>
    <w:next w:val="Normal"/>
    <w:rsid w:val="00E821A8"/>
    <w:pPr>
      <w:outlineLvl w:val="9"/>
    </w:pPr>
  </w:style>
  <w:style w:type="paragraph" w:customStyle="1" w:styleId="ZA">
    <w:name w:val="ZA"/>
    <w:rsid w:val="00E82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21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21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21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21A8"/>
  </w:style>
  <w:style w:type="paragraph" w:customStyle="1" w:styleId="ZH">
    <w:name w:val="ZH"/>
    <w:rsid w:val="00E821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21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21A8"/>
    <w:pPr>
      <w:framePr w:hRule="auto" w:wrap="notBeside" w:y="852"/>
    </w:pPr>
    <w:rPr>
      <w:i w:val="0"/>
      <w:sz w:val="40"/>
    </w:rPr>
  </w:style>
  <w:style w:type="paragraph" w:customStyle="1" w:styleId="ZU">
    <w:name w:val="ZU"/>
    <w:rsid w:val="00E821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21A8"/>
    <w:pPr>
      <w:framePr w:wrap="notBeside" w:y="16161"/>
    </w:pPr>
  </w:style>
  <w:style w:type="paragraph" w:customStyle="1" w:styleId="FP">
    <w:name w:val="FP"/>
    <w:basedOn w:val="Normal"/>
    <w:rsid w:val="00E821A8"/>
    <w:pPr>
      <w:spacing w:after="0"/>
    </w:pPr>
  </w:style>
  <w:style w:type="paragraph" w:customStyle="1" w:styleId="Observation">
    <w:name w:val="Observation"/>
    <w:basedOn w:val="Proposal"/>
    <w:qFormat/>
    <w:rsid w:val="00E821A8"/>
    <w:pPr>
      <w:numPr>
        <w:numId w:val="4"/>
      </w:numPr>
      <w:ind w:left="1701" w:hanging="1701"/>
    </w:pPr>
    <w:rPr>
      <w:lang w:eastAsia="ja-JP"/>
    </w:rPr>
  </w:style>
  <w:style w:type="paragraph" w:styleId="TableofFigures">
    <w:name w:val="table of figures"/>
    <w:basedOn w:val="BodyText"/>
    <w:next w:val="Normal"/>
    <w:uiPriority w:val="99"/>
    <w:rsid w:val="00E821A8"/>
    <w:pPr>
      <w:ind w:left="1701" w:hanging="1701"/>
      <w:jc w:val="left"/>
    </w:pPr>
    <w:rPr>
      <w:b/>
    </w:rPr>
  </w:style>
  <w:style w:type="character" w:customStyle="1" w:styleId="B1Char1">
    <w:name w:val="B1 Char1"/>
    <w:link w:val="B1"/>
    <w:qFormat/>
    <w:rsid w:val="00E821A8"/>
    <w:rPr>
      <w:rFonts w:ascii="Times New Roman" w:hAnsi="Times New Roman"/>
      <w:lang w:eastAsia="zh-CN"/>
    </w:rPr>
  </w:style>
  <w:style w:type="character" w:customStyle="1" w:styleId="B2Char">
    <w:name w:val="B2 Char"/>
    <w:link w:val="B2"/>
    <w:qFormat/>
    <w:rsid w:val="00E821A8"/>
    <w:rPr>
      <w:rFonts w:ascii="Times New Roman" w:hAnsi="Times New Roman"/>
      <w:lang w:eastAsia="ja-JP"/>
    </w:rPr>
  </w:style>
  <w:style w:type="character" w:customStyle="1" w:styleId="B3Char2">
    <w:name w:val="B3 Char2"/>
    <w:link w:val="B3"/>
    <w:qFormat/>
    <w:rsid w:val="00E821A8"/>
    <w:rPr>
      <w:rFonts w:ascii="Times New Roman" w:hAnsi="Times New Roman"/>
      <w:lang w:eastAsia="ja-JP"/>
    </w:rPr>
  </w:style>
  <w:style w:type="character" w:customStyle="1" w:styleId="B4Char">
    <w:name w:val="B4 Char"/>
    <w:link w:val="B4"/>
    <w:rsid w:val="00E821A8"/>
    <w:rPr>
      <w:rFonts w:ascii="Times New Roman" w:hAnsi="Times New Roman"/>
      <w:lang w:eastAsia="ja-JP"/>
    </w:rPr>
  </w:style>
  <w:style w:type="character" w:customStyle="1" w:styleId="B5Char">
    <w:name w:val="B5 Char"/>
    <w:link w:val="B5"/>
    <w:rsid w:val="00E821A8"/>
    <w:rPr>
      <w:rFonts w:ascii="Times New Roman" w:hAnsi="Times New Roman"/>
      <w:lang w:eastAsia="ja-JP"/>
    </w:rPr>
  </w:style>
  <w:style w:type="paragraph" w:customStyle="1" w:styleId="B6">
    <w:name w:val="B6"/>
    <w:basedOn w:val="B5"/>
    <w:link w:val="B6Char"/>
    <w:rsid w:val="00E821A8"/>
    <w:pPr>
      <w:ind w:left="1985"/>
    </w:pPr>
  </w:style>
  <w:style w:type="character" w:customStyle="1" w:styleId="B6Char">
    <w:name w:val="B6 Char"/>
    <w:link w:val="B6"/>
    <w:rsid w:val="00E821A8"/>
    <w:rPr>
      <w:rFonts w:ascii="Times New Roman" w:hAnsi="Times New Roman"/>
      <w:lang w:eastAsia="ja-JP"/>
    </w:rPr>
  </w:style>
  <w:style w:type="paragraph" w:customStyle="1" w:styleId="B7">
    <w:name w:val="B7"/>
    <w:basedOn w:val="B6"/>
    <w:link w:val="B7Char"/>
    <w:rsid w:val="00E821A8"/>
    <w:pPr>
      <w:ind w:left="2269"/>
    </w:pPr>
  </w:style>
  <w:style w:type="character" w:customStyle="1" w:styleId="B7Char">
    <w:name w:val="B7 Char"/>
    <w:basedOn w:val="B6Char"/>
    <w:link w:val="B7"/>
    <w:rsid w:val="00E821A8"/>
    <w:rPr>
      <w:rFonts w:ascii="Times New Roman" w:hAnsi="Times New Roman"/>
      <w:lang w:eastAsia="ja-JP"/>
    </w:rPr>
  </w:style>
  <w:style w:type="paragraph" w:customStyle="1" w:styleId="B8">
    <w:name w:val="B8"/>
    <w:basedOn w:val="B7"/>
    <w:qFormat/>
    <w:rsid w:val="00E821A8"/>
    <w:pPr>
      <w:ind w:left="2552"/>
    </w:pPr>
  </w:style>
  <w:style w:type="character" w:customStyle="1" w:styleId="BalloonTextChar">
    <w:name w:val="Balloon Text Char"/>
    <w:link w:val="BalloonText"/>
    <w:rsid w:val="00E821A8"/>
    <w:rPr>
      <w:rFonts w:ascii="Segoe UI" w:hAnsi="Segoe UI" w:cs="Segoe UI"/>
      <w:sz w:val="18"/>
      <w:szCs w:val="18"/>
      <w:lang w:eastAsia="ja-JP"/>
    </w:rPr>
  </w:style>
  <w:style w:type="character" w:customStyle="1" w:styleId="CommentTextChar">
    <w:name w:val="Comment Text Char"/>
    <w:link w:val="CommentText"/>
    <w:uiPriority w:val="99"/>
    <w:qFormat/>
    <w:rsid w:val="00E821A8"/>
    <w:rPr>
      <w:rFonts w:ascii="Times New Roman" w:hAnsi="Times New Roman"/>
      <w:lang w:eastAsia="ja-JP"/>
    </w:rPr>
  </w:style>
  <w:style w:type="character" w:customStyle="1" w:styleId="CommentSubjectChar">
    <w:name w:val="Comment Subject Char"/>
    <w:link w:val="CommentSubject"/>
    <w:rsid w:val="00E821A8"/>
    <w:rPr>
      <w:rFonts w:ascii="Times New Roman" w:hAnsi="Times New Roman"/>
      <w:b/>
      <w:bCs/>
      <w:lang w:eastAsia="ja-JP"/>
    </w:rPr>
  </w:style>
  <w:style w:type="paragraph" w:customStyle="1" w:styleId="CRCoverPage">
    <w:name w:val="CR Cover Page"/>
    <w:link w:val="CRCoverPageZchn"/>
    <w:rsid w:val="00E821A8"/>
    <w:pPr>
      <w:spacing w:after="120"/>
    </w:pPr>
    <w:rPr>
      <w:rFonts w:ascii="Arial" w:hAnsi="Arial"/>
      <w:lang w:eastAsia="ko-KR"/>
    </w:rPr>
  </w:style>
  <w:style w:type="character" w:customStyle="1" w:styleId="CRCoverPageZchn">
    <w:name w:val="CR Cover Page Zchn"/>
    <w:link w:val="CRCoverPage"/>
    <w:rsid w:val="00E821A8"/>
    <w:rPr>
      <w:rFonts w:ascii="Arial" w:hAnsi="Arial"/>
      <w:lang w:eastAsia="ko-KR"/>
    </w:rPr>
  </w:style>
  <w:style w:type="paragraph" w:customStyle="1" w:styleId="Doc-text2">
    <w:name w:val="Doc-text2"/>
    <w:basedOn w:val="Normal"/>
    <w:link w:val="Doc-text2Char"/>
    <w:qFormat/>
    <w:rsid w:val="00E821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21A8"/>
    <w:rPr>
      <w:rFonts w:ascii="Arial" w:eastAsia="MS Mincho" w:hAnsi="Arial"/>
      <w:szCs w:val="24"/>
      <w:lang w:val="x-none" w:eastAsia="x-none"/>
    </w:rPr>
  </w:style>
  <w:style w:type="character" w:customStyle="1" w:styleId="DocumentMapChar">
    <w:name w:val="Document Map Char"/>
    <w:link w:val="DocumentMap"/>
    <w:rsid w:val="00E821A8"/>
    <w:rPr>
      <w:rFonts w:ascii="Tahoma" w:hAnsi="Tahoma" w:cs="Tahoma"/>
      <w:shd w:val="clear" w:color="auto" w:fill="000080"/>
      <w:lang w:eastAsia="ja-JP"/>
    </w:rPr>
  </w:style>
  <w:style w:type="paragraph" w:customStyle="1" w:styleId="NO">
    <w:name w:val="NO"/>
    <w:basedOn w:val="Normal"/>
    <w:link w:val="NOChar"/>
    <w:rsid w:val="00E821A8"/>
    <w:pPr>
      <w:keepLines/>
      <w:ind w:left="1135" w:hanging="851"/>
    </w:pPr>
  </w:style>
  <w:style w:type="character" w:customStyle="1" w:styleId="NOChar">
    <w:name w:val="NO Char"/>
    <w:link w:val="NO"/>
    <w:qFormat/>
    <w:rsid w:val="00E821A8"/>
    <w:rPr>
      <w:rFonts w:ascii="Times New Roman" w:hAnsi="Times New Roman"/>
      <w:lang w:eastAsia="ja-JP"/>
    </w:rPr>
  </w:style>
  <w:style w:type="character" w:customStyle="1" w:styleId="EditorsNoteChar">
    <w:name w:val="Editor's Note Char"/>
    <w:link w:val="EditorsNote"/>
    <w:rsid w:val="00E821A8"/>
    <w:rPr>
      <w:rFonts w:ascii="Times New Roman" w:hAnsi="Times New Roman"/>
      <w:color w:val="FF0000"/>
      <w:lang w:val="x-none" w:eastAsia="x-none"/>
    </w:rPr>
  </w:style>
  <w:style w:type="paragraph" w:customStyle="1" w:styleId="EmailDiscussion">
    <w:name w:val="EmailDiscussion"/>
    <w:basedOn w:val="Normal"/>
    <w:next w:val="Normal"/>
    <w:rsid w:val="00E821A8"/>
    <w:pPr>
      <w:numPr>
        <w:numId w:val="5"/>
      </w:numPr>
      <w:spacing w:before="40" w:after="0"/>
    </w:pPr>
    <w:rPr>
      <w:rFonts w:ascii="Arial" w:eastAsia="MS Mincho" w:hAnsi="Arial"/>
      <w:b/>
      <w:szCs w:val="24"/>
      <w:lang w:eastAsia="en-GB"/>
    </w:rPr>
  </w:style>
  <w:style w:type="character" w:styleId="Emphasis">
    <w:name w:val="Emphasis"/>
    <w:qFormat/>
    <w:rsid w:val="00E821A8"/>
    <w:rPr>
      <w:i/>
      <w:iCs/>
    </w:rPr>
  </w:style>
  <w:style w:type="paragraph" w:customStyle="1" w:styleId="FigureTitle">
    <w:name w:val="Figure_Title"/>
    <w:basedOn w:val="Normal"/>
    <w:next w:val="Normal"/>
    <w:rsid w:val="00E821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21A8"/>
    <w:rPr>
      <w:rFonts w:ascii="Arial" w:hAnsi="Arial"/>
      <w:b/>
      <w:noProof/>
      <w:sz w:val="18"/>
      <w:lang w:eastAsia="ja-JP"/>
    </w:rPr>
  </w:style>
  <w:style w:type="character" w:customStyle="1" w:styleId="FooterChar">
    <w:name w:val="Footer Char"/>
    <w:link w:val="Footer"/>
    <w:rsid w:val="00E821A8"/>
    <w:rPr>
      <w:rFonts w:ascii="Arial" w:hAnsi="Arial"/>
      <w:b/>
      <w:i/>
      <w:noProof/>
      <w:sz w:val="18"/>
      <w:lang w:eastAsia="ja-JP"/>
    </w:rPr>
  </w:style>
  <w:style w:type="character" w:customStyle="1" w:styleId="FootnoteTextChar">
    <w:name w:val="Footnote Text Char"/>
    <w:link w:val="FootnoteText"/>
    <w:rsid w:val="00E821A8"/>
    <w:rPr>
      <w:rFonts w:ascii="Times New Roman" w:hAnsi="Times New Roman"/>
      <w:sz w:val="16"/>
      <w:lang w:eastAsia="ja-JP"/>
    </w:rPr>
  </w:style>
  <w:style w:type="paragraph" w:customStyle="1" w:styleId="Guidance">
    <w:name w:val="Guidance"/>
    <w:basedOn w:val="Normal"/>
    <w:rsid w:val="00E821A8"/>
    <w:rPr>
      <w:i/>
      <w:color w:val="0000FF"/>
    </w:rPr>
  </w:style>
  <w:style w:type="character" w:customStyle="1" w:styleId="Heading2Char">
    <w:name w:val="Heading 2 Char"/>
    <w:link w:val="Heading2"/>
    <w:rsid w:val="00E821A8"/>
    <w:rPr>
      <w:rFonts w:ascii="Arial" w:hAnsi="Arial"/>
      <w:sz w:val="32"/>
      <w:lang w:eastAsia="ja-JP"/>
    </w:rPr>
  </w:style>
  <w:style w:type="character" w:customStyle="1" w:styleId="Heading3Char">
    <w:name w:val="Heading 3 Char"/>
    <w:link w:val="Heading3"/>
    <w:rsid w:val="00E821A8"/>
    <w:rPr>
      <w:rFonts w:ascii="Arial" w:hAnsi="Arial"/>
      <w:sz w:val="28"/>
      <w:lang w:eastAsia="ja-JP"/>
    </w:rPr>
  </w:style>
  <w:style w:type="character" w:customStyle="1" w:styleId="Heading4Char">
    <w:name w:val="Heading 4 Char"/>
    <w:link w:val="Heading4"/>
    <w:rsid w:val="00E821A8"/>
    <w:rPr>
      <w:rFonts w:ascii="Arial" w:hAnsi="Arial"/>
      <w:sz w:val="24"/>
      <w:lang w:eastAsia="ja-JP"/>
    </w:rPr>
  </w:style>
  <w:style w:type="character" w:customStyle="1" w:styleId="Heading5Char">
    <w:name w:val="Heading 5 Char"/>
    <w:link w:val="Heading5"/>
    <w:rsid w:val="00E821A8"/>
    <w:rPr>
      <w:rFonts w:ascii="Arial" w:hAnsi="Arial"/>
      <w:sz w:val="22"/>
      <w:lang w:eastAsia="ja-JP"/>
    </w:rPr>
  </w:style>
  <w:style w:type="paragraph" w:customStyle="1" w:styleId="H6">
    <w:name w:val="H6"/>
    <w:basedOn w:val="Heading5"/>
    <w:next w:val="Normal"/>
    <w:rsid w:val="00E821A8"/>
    <w:pPr>
      <w:ind w:left="1985" w:hanging="1985"/>
      <w:outlineLvl w:val="9"/>
    </w:pPr>
    <w:rPr>
      <w:sz w:val="20"/>
    </w:rPr>
  </w:style>
  <w:style w:type="character" w:customStyle="1" w:styleId="Heading6Char">
    <w:name w:val="Heading 6 Char"/>
    <w:link w:val="Heading6"/>
    <w:rsid w:val="00E821A8"/>
    <w:rPr>
      <w:rFonts w:ascii="Arial" w:hAnsi="Arial"/>
      <w:lang w:eastAsia="ja-JP"/>
    </w:rPr>
  </w:style>
  <w:style w:type="character" w:customStyle="1" w:styleId="Heading7Char">
    <w:name w:val="Heading 7 Char"/>
    <w:link w:val="Heading7"/>
    <w:rsid w:val="00E821A8"/>
    <w:rPr>
      <w:rFonts w:ascii="Arial" w:hAnsi="Arial"/>
      <w:lang w:eastAsia="ja-JP"/>
    </w:rPr>
  </w:style>
  <w:style w:type="character" w:customStyle="1" w:styleId="Heading8Char">
    <w:name w:val="Heading 8 Char"/>
    <w:link w:val="Heading8"/>
    <w:rsid w:val="00E821A8"/>
    <w:rPr>
      <w:rFonts w:ascii="Arial" w:hAnsi="Arial"/>
      <w:sz w:val="36"/>
      <w:lang w:eastAsia="ja-JP"/>
    </w:rPr>
  </w:style>
  <w:style w:type="character" w:customStyle="1" w:styleId="Heading9Char">
    <w:name w:val="Heading 9 Char"/>
    <w:link w:val="Heading9"/>
    <w:rsid w:val="00E821A8"/>
    <w:rPr>
      <w:rFonts w:ascii="Arial" w:hAnsi="Arial"/>
      <w:sz w:val="36"/>
      <w:lang w:eastAsia="ja-JP"/>
    </w:rPr>
  </w:style>
  <w:style w:type="character" w:styleId="HTMLCode">
    <w:name w:val="HTML Code"/>
    <w:uiPriority w:val="99"/>
    <w:unhideWhenUsed/>
    <w:rsid w:val="00E821A8"/>
    <w:rPr>
      <w:rFonts w:ascii="Courier New" w:eastAsia="Times New Roman" w:hAnsi="Courier New" w:cs="Courier New"/>
      <w:sz w:val="20"/>
      <w:szCs w:val="20"/>
    </w:rPr>
  </w:style>
  <w:style w:type="paragraph" w:styleId="IndexHeading">
    <w:name w:val="index heading"/>
    <w:basedOn w:val="Normal"/>
    <w:next w:val="Normal"/>
    <w:rsid w:val="00E821A8"/>
    <w:pPr>
      <w:pBdr>
        <w:top w:val="single" w:sz="12" w:space="0" w:color="auto"/>
      </w:pBdr>
      <w:spacing w:before="360" w:after="240"/>
    </w:pPr>
    <w:rPr>
      <w:b/>
      <w:i/>
      <w:sz w:val="26"/>
      <w:lang w:eastAsia="en-GB"/>
    </w:rPr>
  </w:style>
  <w:style w:type="paragraph" w:customStyle="1" w:styleId="LD">
    <w:name w:val="LD"/>
    <w:rsid w:val="00E821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821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1A8"/>
    <w:rPr>
      <w:rFonts w:ascii="Calibri" w:eastAsia="Calibri" w:hAnsi="Calibri" w:cstheme="minorBidi"/>
      <w:sz w:val="22"/>
      <w:szCs w:val="22"/>
      <w:lang w:val="x-none" w:eastAsia="en-US"/>
    </w:rPr>
  </w:style>
  <w:style w:type="paragraph" w:customStyle="1" w:styleId="NF">
    <w:name w:val="NF"/>
    <w:basedOn w:val="NO"/>
    <w:rsid w:val="00E821A8"/>
    <w:pPr>
      <w:keepNext/>
      <w:spacing w:after="0"/>
    </w:pPr>
    <w:rPr>
      <w:rFonts w:ascii="Arial" w:hAnsi="Arial"/>
      <w:sz w:val="18"/>
    </w:rPr>
  </w:style>
  <w:style w:type="paragraph" w:customStyle="1" w:styleId="NW">
    <w:name w:val="NW"/>
    <w:basedOn w:val="NO"/>
    <w:rsid w:val="00E821A8"/>
    <w:pPr>
      <w:spacing w:after="0"/>
    </w:pPr>
  </w:style>
  <w:style w:type="paragraph" w:customStyle="1" w:styleId="PL">
    <w:name w:val="PL"/>
    <w:link w:val="PLChar"/>
    <w:qFormat/>
    <w:rsid w:val="00E8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21A8"/>
    <w:rPr>
      <w:rFonts w:ascii="Courier New" w:eastAsia="Batang" w:hAnsi="Courier New"/>
      <w:noProof/>
      <w:sz w:val="16"/>
      <w:shd w:val="clear" w:color="auto" w:fill="E6E6E6"/>
      <w:lang w:eastAsia="sv-SE"/>
    </w:rPr>
  </w:style>
  <w:style w:type="paragraph" w:styleId="PlainText">
    <w:name w:val="Plain Text"/>
    <w:basedOn w:val="Normal"/>
    <w:link w:val="PlainTextChar"/>
    <w:rsid w:val="00E821A8"/>
    <w:rPr>
      <w:rFonts w:ascii="Courier New" w:hAnsi="Courier New"/>
      <w:lang w:val="nb-NO"/>
    </w:rPr>
  </w:style>
  <w:style w:type="character" w:customStyle="1" w:styleId="PlainTextChar">
    <w:name w:val="Plain Text Char"/>
    <w:link w:val="PlainText"/>
    <w:rsid w:val="00E821A8"/>
    <w:rPr>
      <w:rFonts w:ascii="Courier New" w:hAnsi="Courier New"/>
      <w:lang w:val="nb-NO" w:eastAsia="ja-JP"/>
    </w:rPr>
  </w:style>
  <w:style w:type="character" w:styleId="Strong">
    <w:name w:val="Strong"/>
    <w:uiPriority w:val="22"/>
    <w:qFormat/>
    <w:rsid w:val="00E821A8"/>
    <w:rPr>
      <w:b/>
      <w:bCs/>
    </w:rPr>
  </w:style>
  <w:style w:type="table" w:styleId="TableGrid">
    <w:name w:val="Table Grid"/>
    <w:basedOn w:val="TableNormal"/>
    <w:uiPriority w:val="39"/>
    <w:rsid w:val="00E821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21A8"/>
    <w:rPr>
      <w:rFonts w:ascii="Arial" w:hAnsi="Arial"/>
      <w:sz w:val="18"/>
      <w:lang w:val="x-none" w:eastAsia="x-none"/>
    </w:rPr>
  </w:style>
  <w:style w:type="character" w:customStyle="1" w:styleId="TAHCar">
    <w:name w:val="TAH Car"/>
    <w:link w:val="TAH"/>
    <w:locked/>
    <w:rsid w:val="00E821A8"/>
    <w:rPr>
      <w:rFonts w:ascii="Arial" w:hAnsi="Arial"/>
      <w:b/>
      <w:sz w:val="18"/>
      <w:lang w:val="x-none" w:eastAsia="x-none"/>
    </w:rPr>
  </w:style>
  <w:style w:type="character" w:customStyle="1" w:styleId="THChar">
    <w:name w:val="TH Char"/>
    <w:link w:val="TH"/>
    <w:rsid w:val="00E821A8"/>
    <w:rPr>
      <w:rFonts w:ascii="Arial" w:hAnsi="Arial"/>
      <w:b/>
      <w:lang w:val="x-none" w:eastAsia="x-none"/>
    </w:rPr>
  </w:style>
  <w:style w:type="paragraph" w:customStyle="1" w:styleId="TAJ">
    <w:name w:val="TAJ"/>
    <w:basedOn w:val="TH"/>
    <w:rsid w:val="00E821A8"/>
  </w:style>
  <w:style w:type="paragraph" w:customStyle="1" w:styleId="TALCharChar">
    <w:name w:val="TAL Char Char"/>
    <w:basedOn w:val="Normal"/>
    <w:link w:val="TALCharCharChar"/>
    <w:rsid w:val="00E821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21A8"/>
    <w:rPr>
      <w:rFonts w:ascii="Arial" w:eastAsia="Malgun Gothic" w:hAnsi="Arial"/>
      <w:sz w:val="18"/>
      <w:lang w:val="x-none" w:eastAsia="x-none"/>
    </w:rPr>
  </w:style>
  <w:style w:type="character" w:customStyle="1" w:styleId="TFChar">
    <w:name w:val="TF Char"/>
    <w:link w:val="TF"/>
    <w:rsid w:val="00E821A8"/>
    <w:rPr>
      <w:rFonts w:ascii="Arial" w:hAnsi="Arial"/>
      <w:b/>
      <w:lang w:val="x-none" w:eastAsia="x-none"/>
    </w:rPr>
  </w:style>
  <w:style w:type="paragraph" w:styleId="ListContinue">
    <w:name w:val="List Continue"/>
    <w:basedOn w:val="Normal"/>
    <w:rsid w:val="00E821A8"/>
    <w:pPr>
      <w:spacing w:after="120"/>
      <w:ind w:left="283"/>
      <w:contextualSpacing/>
    </w:pPr>
    <w:rPr>
      <w:rFonts w:ascii="Arial" w:hAnsi="Arial"/>
    </w:rPr>
  </w:style>
  <w:style w:type="paragraph" w:styleId="ListContinue2">
    <w:name w:val="List Continue 2"/>
    <w:basedOn w:val="Normal"/>
    <w:rsid w:val="00E821A8"/>
    <w:pPr>
      <w:spacing w:after="120"/>
      <w:ind w:left="566"/>
      <w:contextualSpacing/>
    </w:pPr>
    <w:rPr>
      <w:rFonts w:ascii="Arial" w:hAnsi="Arial"/>
    </w:rPr>
  </w:style>
  <w:style w:type="paragraph" w:styleId="ListNumber3">
    <w:name w:val="List Number 3"/>
    <w:basedOn w:val="ListNumber2"/>
    <w:rsid w:val="00E821A8"/>
    <w:pPr>
      <w:numPr>
        <w:numId w:val="3"/>
      </w:numPr>
      <w:contextualSpacing/>
    </w:pPr>
  </w:style>
  <w:style w:type="character" w:styleId="UnresolvedMention">
    <w:name w:val="Unresolved Mention"/>
    <w:basedOn w:val="DefaultParagraphFont"/>
    <w:uiPriority w:val="99"/>
    <w:semiHidden/>
    <w:unhideWhenUsed/>
    <w:rsid w:val="00E821A8"/>
    <w:rPr>
      <w:color w:val="808080"/>
      <w:shd w:val="clear" w:color="auto" w:fill="E6E6E6"/>
    </w:rPr>
  </w:style>
  <w:style w:type="character" w:customStyle="1" w:styleId="B1Char">
    <w:name w:val="B1 Char"/>
    <w:locked/>
    <w:rsid w:val="000304F3"/>
    <w:rPr>
      <w:rFonts w:ascii="Times New Roman" w:hAnsi="Times New Roman"/>
      <w:color w:val="000000"/>
      <w:lang w:eastAsia="ja-JP"/>
    </w:rPr>
  </w:style>
  <w:style w:type="character" w:customStyle="1" w:styleId="NOZchn">
    <w:name w:val="NO Zchn"/>
    <w:locked/>
    <w:rsid w:val="00776685"/>
    <w:rPr>
      <w:rFonts w:ascii="Times New Roman" w:hAnsi="Times New Roman"/>
      <w:color w:val="000000"/>
      <w:lang w:eastAsia="ja-JP"/>
    </w:rPr>
  </w:style>
  <w:style w:type="character" w:customStyle="1" w:styleId="TACChar">
    <w:name w:val="TAC Char"/>
    <w:link w:val="TAC"/>
    <w:qFormat/>
    <w:locked/>
    <w:rsid w:val="003704D6"/>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5174">
      <w:bodyDiv w:val="1"/>
      <w:marLeft w:val="0"/>
      <w:marRight w:val="0"/>
      <w:marTop w:val="0"/>
      <w:marBottom w:val="0"/>
      <w:divBdr>
        <w:top w:val="none" w:sz="0" w:space="0" w:color="auto"/>
        <w:left w:val="none" w:sz="0" w:space="0" w:color="auto"/>
        <w:bottom w:val="none" w:sz="0" w:space="0" w:color="auto"/>
        <w:right w:val="none" w:sz="0" w:space="0" w:color="auto"/>
      </w:divBdr>
    </w:div>
    <w:div w:id="36470163">
      <w:bodyDiv w:val="1"/>
      <w:marLeft w:val="0"/>
      <w:marRight w:val="0"/>
      <w:marTop w:val="0"/>
      <w:marBottom w:val="0"/>
      <w:divBdr>
        <w:top w:val="none" w:sz="0" w:space="0" w:color="auto"/>
        <w:left w:val="none" w:sz="0" w:space="0" w:color="auto"/>
        <w:bottom w:val="none" w:sz="0" w:space="0" w:color="auto"/>
        <w:right w:val="none" w:sz="0" w:space="0" w:color="auto"/>
      </w:divBdr>
    </w:div>
    <w:div w:id="64498810">
      <w:bodyDiv w:val="1"/>
      <w:marLeft w:val="0"/>
      <w:marRight w:val="0"/>
      <w:marTop w:val="0"/>
      <w:marBottom w:val="0"/>
      <w:divBdr>
        <w:top w:val="none" w:sz="0" w:space="0" w:color="auto"/>
        <w:left w:val="none" w:sz="0" w:space="0" w:color="auto"/>
        <w:bottom w:val="none" w:sz="0" w:space="0" w:color="auto"/>
        <w:right w:val="none" w:sz="0" w:space="0" w:color="auto"/>
      </w:divBdr>
      <w:divsChild>
        <w:div w:id="1892382193">
          <w:marLeft w:val="2261"/>
          <w:marRight w:val="0"/>
          <w:marTop w:val="60"/>
          <w:marBottom w:val="0"/>
          <w:divBdr>
            <w:top w:val="none" w:sz="0" w:space="0" w:color="auto"/>
            <w:left w:val="none" w:sz="0" w:space="0" w:color="auto"/>
            <w:bottom w:val="none" w:sz="0" w:space="0" w:color="auto"/>
            <w:right w:val="none" w:sz="0" w:space="0" w:color="auto"/>
          </w:divBdr>
        </w:div>
        <w:div w:id="1227644571">
          <w:marLeft w:val="2794"/>
          <w:marRight w:val="0"/>
          <w:marTop w:val="60"/>
          <w:marBottom w:val="0"/>
          <w:divBdr>
            <w:top w:val="none" w:sz="0" w:space="0" w:color="auto"/>
            <w:left w:val="none" w:sz="0" w:space="0" w:color="auto"/>
            <w:bottom w:val="none" w:sz="0" w:space="0" w:color="auto"/>
            <w:right w:val="none" w:sz="0" w:space="0" w:color="auto"/>
          </w:divBdr>
        </w:div>
        <w:div w:id="577131152">
          <w:marLeft w:val="2794"/>
          <w:marRight w:val="0"/>
          <w:marTop w:val="60"/>
          <w:marBottom w:val="0"/>
          <w:divBdr>
            <w:top w:val="none" w:sz="0" w:space="0" w:color="auto"/>
            <w:left w:val="none" w:sz="0" w:space="0" w:color="auto"/>
            <w:bottom w:val="none" w:sz="0" w:space="0" w:color="auto"/>
            <w:right w:val="none" w:sz="0" w:space="0" w:color="auto"/>
          </w:divBdr>
        </w:div>
      </w:divsChild>
    </w:div>
    <w:div w:id="66612624">
      <w:bodyDiv w:val="1"/>
      <w:marLeft w:val="0"/>
      <w:marRight w:val="0"/>
      <w:marTop w:val="0"/>
      <w:marBottom w:val="0"/>
      <w:divBdr>
        <w:top w:val="none" w:sz="0" w:space="0" w:color="auto"/>
        <w:left w:val="none" w:sz="0" w:space="0" w:color="auto"/>
        <w:bottom w:val="none" w:sz="0" w:space="0" w:color="auto"/>
        <w:right w:val="none" w:sz="0" w:space="0" w:color="auto"/>
      </w:divBdr>
    </w:div>
    <w:div w:id="86587069">
      <w:bodyDiv w:val="1"/>
      <w:marLeft w:val="0"/>
      <w:marRight w:val="0"/>
      <w:marTop w:val="0"/>
      <w:marBottom w:val="0"/>
      <w:divBdr>
        <w:top w:val="none" w:sz="0" w:space="0" w:color="auto"/>
        <w:left w:val="none" w:sz="0" w:space="0" w:color="auto"/>
        <w:bottom w:val="none" w:sz="0" w:space="0" w:color="auto"/>
        <w:right w:val="none" w:sz="0" w:space="0" w:color="auto"/>
      </w:divBdr>
      <w:divsChild>
        <w:div w:id="1137915734">
          <w:marLeft w:val="2261"/>
          <w:marRight w:val="0"/>
          <w:marTop w:val="60"/>
          <w:marBottom w:val="0"/>
          <w:divBdr>
            <w:top w:val="none" w:sz="0" w:space="0" w:color="auto"/>
            <w:left w:val="none" w:sz="0" w:space="0" w:color="auto"/>
            <w:bottom w:val="none" w:sz="0" w:space="0" w:color="auto"/>
            <w:right w:val="none" w:sz="0" w:space="0" w:color="auto"/>
          </w:divBdr>
        </w:div>
      </w:divsChild>
    </w:div>
    <w:div w:id="258803755">
      <w:bodyDiv w:val="1"/>
      <w:marLeft w:val="0"/>
      <w:marRight w:val="0"/>
      <w:marTop w:val="0"/>
      <w:marBottom w:val="0"/>
      <w:divBdr>
        <w:top w:val="none" w:sz="0" w:space="0" w:color="auto"/>
        <w:left w:val="none" w:sz="0" w:space="0" w:color="auto"/>
        <w:bottom w:val="none" w:sz="0" w:space="0" w:color="auto"/>
        <w:right w:val="none" w:sz="0" w:space="0" w:color="auto"/>
      </w:divBdr>
    </w:div>
    <w:div w:id="286274824">
      <w:bodyDiv w:val="1"/>
      <w:marLeft w:val="0"/>
      <w:marRight w:val="0"/>
      <w:marTop w:val="0"/>
      <w:marBottom w:val="0"/>
      <w:divBdr>
        <w:top w:val="none" w:sz="0" w:space="0" w:color="auto"/>
        <w:left w:val="none" w:sz="0" w:space="0" w:color="auto"/>
        <w:bottom w:val="none" w:sz="0" w:space="0" w:color="auto"/>
        <w:right w:val="none" w:sz="0" w:space="0" w:color="auto"/>
      </w:divBdr>
    </w:div>
    <w:div w:id="346443634">
      <w:bodyDiv w:val="1"/>
      <w:marLeft w:val="0"/>
      <w:marRight w:val="0"/>
      <w:marTop w:val="0"/>
      <w:marBottom w:val="0"/>
      <w:divBdr>
        <w:top w:val="none" w:sz="0" w:space="0" w:color="auto"/>
        <w:left w:val="none" w:sz="0" w:space="0" w:color="auto"/>
        <w:bottom w:val="none" w:sz="0" w:space="0" w:color="auto"/>
        <w:right w:val="none" w:sz="0" w:space="0" w:color="auto"/>
      </w:divBdr>
    </w:div>
    <w:div w:id="369572814">
      <w:bodyDiv w:val="1"/>
      <w:marLeft w:val="0"/>
      <w:marRight w:val="0"/>
      <w:marTop w:val="0"/>
      <w:marBottom w:val="0"/>
      <w:divBdr>
        <w:top w:val="none" w:sz="0" w:space="0" w:color="auto"/>
        <w:left w:val="none" w:sz="0" w:space="0" w:color="auto"/>
        <w:bottom w:val="none" w:sz="0" w:space="0" w:color="auto"/>
        <w:right w:val="none" w:sz="0" w:space="0" w:color="auto"/>
      </w:divBdr>
    </w:div>
    <w:div w:id="423496013">
      <w:bodyDiv w:val="1"/>
      <w:marLeft w:val="0"/>
      <w:marRight w:val="0"/>
      <w:marTop w:val="0"/>
      <w:marBottom w:val="0"/>
      <w:divBdr>
        <w:top w:val="none" w:sz="0" w:space="0" w:color="auto"/>
        <w:left w:val="none" w:sz="0" w:space="0" w:color="auto"/>
        <w:bottom w:val="none" w:sz="0" w:space="0" w:color="auto"/>
        <w:right w:val="none" w:sz="0" w:space="0" w:color="auto"/>
      </w:divBdr>
    </w:div>
    <w:div w:id="435561989">
      <w:bodyDiv w:val="1"/>
      <w:marLeft w:val="0"/>
      <w:marRight w:val="0"/>
      <w:marTop w:val="0"/>
      <w:marBottom w:val="0"/>
      <w:divBdr>
        <w:top w:val="none" w:sz="0" w:space="0" w:color="auto"/>
        <w:left w:val="none" w:sz="0" w:space="0" w:color="auto"/>
        <w:bottom w:val="none" w:sz="0" w:space="0" w:color="auto"/>
        <w:right w:val="none" w:sz="0" w:space="0" w:color="auto"/>
      </w:divBdr>
      <w:divsChild>
        <w:div w:id="1127773012">
          <w:marLeft w:val="547"/>
          <w:marRight w:val="0"/>
          <w:marTop w:val="60"/>
          <w:marBottom w:val="0"/>
          <w:divBdr>
            <w:top w:val="none" w:sz="0" w:space="0" w:color="auto"/>
            <w:left w:val="none" w:sz="0" w:space="0" w:color="auto"/>
            <w:bottom w:val="none" w:sz="0" w:space="0" w:color="auto"/>
            <w:right w:val="none" w:sz="0" w:space="0" w:color="auto"/>
          </w:divBdr>
        </w:div>
        <w:div w:id="631060510">
          <w:marLeft w:val="1123"/>
          <w:marRight w:val="0"/>
          <w:marTop w:val="60"/>
          <w:marBottom w:val="0"/>
          <w:divBdr>
            <w:top w:val="none" w:sz="0" w:space="0" w:color="auto"/>
            <w:left w:val="none" w:sz="0" w:space="0" w:color="auto"/>
            <w:bottom w:val="none" w:sz="0" w:space="0" w:color="auto"/>
            <w:right w:val="none" w:sz="0" w:space="0" w:color="auto"/>
          </w:divBdr>
        </w:div>
        <w:div w:id="1468938183">
          <w:marLeft w:val="1123"/>
          <w:marRight w:val="0"/>
          <w:marTop w:val="60"/>
          <w:marBottom w:val="0"/>
          <w:divBdr>
            <w:top w:val="none" w:sz="0" w:space="0" w:color="auto"/>
            <w:left w:val="none" w:sz="0" w:space="0" w:color="auto"/>
            <w:bottom w:val="none" w:sz="0" w:space="0" w:color="auto"/>
            <w:right w:val="none" w:sz="0" w:space="0" w:color="auto"/>
          </w:divBdr>
        </w:div>
        <w:div w:id="230770259">
          <w:marLeft w:val="1699"/>
          <w:marRight w:val="0"/>
          <w:marTop w:val="60"/>
          <w:marBottom w:val="0"/>
          <w:divBdr>
            <w:top w:val="none" w:sz="0" w:space="0" w:color="auto"/>
            <w:left w:val="none" w:sz="0" w:space="0" w:color="auto"/>
            <w:bottom w:val="none" w:sz="0" w:space="0" w:color="auto"/>
            <w:right w:val="none" w:sz="0" w:space="0" w:color="auto"/>
          </w:divBdr>
        </w:div>
        <w:div w:id="787236209">
          <w:marLeft w:val="1699"/>
          <w:marRight w:val="0"/>
          <w:marTop w:val="60"/>
          <w:marBottom w:val="0"/>
          <w:divBdr>
            <w:top w:val="none" w:sz="0" w:space="0" w:color="auto"/>
            <w:left w:val="none" w:sz="0" w:space="0" w:color="auto"/>
            <w:bottom w:val="none" w:sz="0" w:space="0" w:color="auto"/>
            <w:right w:val="none" w:sz="0" w:space="0" w:color="auto"/>
          </w:divBdr>
        </w:div>
      </w:divsChild>
    </w:div>
    <w:div w:id="446386881">
      <w:bodyDiv w:val="1"/>
      <w:marLeft w:val="0"/>
      <w:marRight w:val="0"/>
      <w:marTop w:val="0"/>
      <w:marBottom w:val="0"/>
      <w:divBdr>
        <w:top w:val="none" w:sz="0" w:space="0" w:color="auto"/>
        <w:left w:val="none" w:sz="0" w:space="0" w:color="auto"/>
        <w:bottom w:val="none" w:sz="0" w:space="0" w:color="auto"/>
        <w:right w:val="none" w:sz="0" w:space="0" w:color="auto"/>
      </w:divBdr>
      <w:divsChild>
        <w:div w:id="275330763">
          <w:marLeft w:val="547"/>
          <w:marRight w:val="0"/>
          <w:marTop w:val="60"/>
          <w:marBottom w:val="0"/>
          <w:divBdr>
            <w:top w:val="none" w:sz="0" w:space="0" w:color="auto"/>
            <w:left w:val="none" w:sz="0" w:space="0" w:color="auto"/>
            <w:bottom w:val="none" w:sz="0" w:space="0" w:color="auto"/>
            <w:right w:val="none" w:sz="0" w:space="0" w:color="auto"/>
          </w:divBdr>
        </w:div>
      </w:divsChild>
    </w:div>
    <w:div w:id="510218580">
      <w:bodyDiv w:val="1"/>
      <w:marLeft w:val="0"/>
      <w:marRight w:val="0"/>
      <w:marTop w:val="0"/>
      <w:marBottom w:val="0"/>
      <w:divBdr>
        <w:top w:val="none" w:sz="0" w:space="0" w:color="auto"/>
        <w:left w:val="none" w:sz="0" w:space="0" w:color="auto"/>
        <w:bottom w:val="none" w:sz="0" w:space="0" w:color="auto"/>
        <w:right w:val="none" w:sz="0" w:space="0" w:color="auto"/>
      </w:divBdr>
    </w:div>
    <w:div w:id="519204372">
      <w:bodyDiv w:val="1"/>
      <w:marLeft w:val="0"/>
      <w:marRight w:val="0"/>
      <w:marTop w:val="0"/>
      <w:marBottom w:val="0"/>
      <w:divBdr>
        <w:top w:val="none" w:sz="0" w:space="0" w:color="auto"/>
        <w:left w:val="none" w:sz="0" w:space="0" w:color="auto"/>
        <w:bottom w:val="none" w:sz="0" w:space="0" w:color="auto"/>
        <w:right w:val="none" w:sz="0" w:space="0" w:color="auto"/>
      </w:divBdr>
      <w:divsChild>
        <w:div w:id="1992563771">
          <w:marLeft w:val="547"/>
          <w:marRight w:val="0"/>
          <w:marTop w:val="60"/>
          <w:marBottom w:val="0"/>
          <w:divBdr>
            <w:top w:val="none" w:sz="0" w:space="0" w:color="auto"/>
            <w:left w:val="none" w:sz="0" w:space="0" w:color="auto"/>
            <w:bottom w:val="none" w:sz="0" w:space="0" w:color="auto"/>
            <w:right w:val="none" w:sz="0" w:space="0" w:color="auto"/>
          </w:divBdr>
        </w:div>
      </w:divsChild>
    </w:div>
    <w:div w:id="521558352">
      <w:bodyDiv w:val="1"/>
      <w:marLeft w:val="0"/>
      <w:marRight w:val="0"/>
      <w:marTop w:val="0"/>
      <w:marBottom w:val="0"/>
      <w:divBdr>
        <w:top w:val="none" w:sz="0" w:space="0" w:color="auto"/>
        <w:left w:val="none" w:sz="0" w:space="0" w:color="auto"/>
        <w:bottom w:val="none" w:sz="0" w:space="0" w:color="auto"/>
        <w:right w:val="none" w:sz="0" w:space="0" w:color="auto"/>
      </w:divBdr>
    </w:div>
    <w:div w:id="566305645">
      <w:bodyDiv w:val="1"/>
      <w:marLeft w:val="0"/>
      <w:marRight w:val="0"/>
      <w:marTop w:val="0"/>
      <w:marBottom w:val="0"/>
      <w:divBdr>
        <w:top w:val="none" w:sz="0" w:space="0" w:color="auto"/>
        <w:left w:val="none" w:sz="0" w:space="0" w:color="auto"/>
        <w:bottom w:val="none" w:sz="0" w:space="0" w:color="auto"/>
        <w:right w:val="none" w:sz="0" w:space="0" w:color="auto"/>
      </w:divBdr>
      <w:divsChild>
        <w:div w:id="1141115388">
          <w:marLeft w:val="547"/>
          <w:marRight w:val="0"/>
          <w:marTop w:val="60"/>
          <w:marBottom w:val="0"/>
          <w:divBdr>
            <w:top w:val="none" w:sz="0" w:space="0" w:color="auto"/>
            <w:left w:val="none" w:sz="0" w:space="0" w:color="auto"/>
            <w:bottom w:val="none" w:sz="0" w:space="0" w:color="auto"/>
            <w:right w:val="none" w:sz="0" w:space="0" w:color="auto"/>
          </w:divBdr>
        </w:div>
      </w:divsChild>
    </w:div>
    <w:div w:id="590546488">
      <w:bodyDiv w:val="1"/>
      <w:marLeft w:val="0"/>
      <w:marRight w:val="0"/>
      <w:marTop w:val="0"/>
      <w:marBottom w:val="0"/>
      <w:divBdr>
        <w:top w:val="none" w:sz="0" w:space="0" w:color="auto"/>
        <w:left w:val="none" w:sz="0" w:space="0" w:color="auto"/>
        <w:bottom w:val="none" w:sz="0" w:space="0" w:color="auto"/>
        <w:right w:val="none" w:sz="0" w:space="0" w:color="auto"/>
      </w:divBdr>
    </w:div>
    <w:div w:id="776099113">
      <w:bodyDiv w:val="1"/>
      <w:marLeft w:val="0"/>
      <w:marRight w:val="0"/>
      <w:marTop w:val="0"/>
      <w:marBottom w:val="0"/>
      <w:divBdr>
        <w:top w:val="none" w:sz="0" w:space="0" w:color="auto"/>
        <w:left w:val="none" w:sz="0" w:space="0" w:color="auto"/>
        <w:bottom w:val="none" w:sz="0" w:space="0" w:color="auto"/>
        <w:right w:val="none" w:sz="0" w:space="0" w:color="auto"/>
      </w:divBdr>
      <w:divsChild>
        <w:div w:id="197277159">
          <w:marLeft w:val="547"/>
          <w:marRight w:val="0"/>
          <w:marTop w:val="60"/>
          <w:marBottom w:val="0"/>
          <w:divBdr>
            <w:top w:val="none" w:sz="0" w:space="0" w:color="auto"/>
            <w:left w:val="none" w:sz="0" w:space="0" w:color="auto"/>
            <w:bottom w:val="none" w:sz="0" w:space="0" w:color="auto"/>
            <w:right w:val="none" w:sz="0" w:space="0" w:color="auto"/>
          </w:divBdr>
        </w:div>
        <w:div w:id="1538855003">
          <w:marLeft w:val="1123"/>
          <w:marRight w:val="0"/>
          <w:marTop w:val="60"/>
          <w:marBottom w:val="0"/>
          <w:divBdr>
            <w:top w:val="none" w:sz="0" w:space="0" w:color="auto"/>
            <w:left w:val="none" w:sz="0" w:space="0" w:color="auto"/>
            <w:bottom w:val="none" w:sz="0" w:space="0" w:color="auto"/>
            <w:right w:val="none" w:sz="0" w:space="0" w:color="auto"/>
          </w:divBdr>
        </w:div>
        <w:div w:id="1044251613">
          <w:marLeft w:val="1699"/>
          <w:marRight w:val="0"/>
          <w:marTop w:val="60"/>
          <w:marBottom w:val="0"/>
          <w:divBdr>
            <w:top w:val="none" w:sz="0" w:space="0" w:color="auto"/>
            <w:left w:val="none" w:sz="0" w:space="0" w:color="auto"/>
            <w:bottom w:val="none" w:sz="0" w:space="0" w:color="auto"/>
            <w:right w:val="none" w:sz="0" w:space="0" w:color="auto"/>
          </w:divBdr>
        </w:div>
        <w:div w:id="438571912">
          <w:marLeft w:val="1123"/>
          <w:marRight w:val="0"/>
          <w:marTop w:val="60"/>
          <w:marBottom w:val="0"/>
          <w:divBdr>
            <w:top w:val="none" w:sz="0" w:space="0" w:color="auto"/>
            <w:left w:val="none" w:sz="0" w:space="0" w:color="auto"/>
            <w:bottom w:val="none" w:sz="0" w:space="0" w:color="auto"/>
            <w:right w:val="none" w:sz="0" w:space="0" w:color="auto"/>
          </w:divBdr>
        </w:div>
        <w:div w:id="315035043">
          <w:marLeft w:val="1699"/>
          <w:marRight w:val="0"/>
          <w:marTop w:val="60"/>
          <w:marBottom w:val="0"/>
          <w:divBdr>
            <w:top w:val="none" w:sz="0" w:space="0" w:color="auto"/>
            <w:left w:val="none" w:sz="0" w:space="0" w:color="auto"/>
            <w:bottom w:val="none" w:sz="0" w:space="0" w:color="auto"/>
            <w:right w:val="none" w:sz="0" w:space="0" w:color="auto"/>
          </w:divBdr>
        </w:div>
      </w:divsChild>
    </w:div>
    <w:div w:id="798836459">
      <w:bodyDiv w:val="1"/>
      <w:marLeft w:val="0"/>
      <w:marRight w:val="0"/>
      <w:marTop w:val="0"/>
      <w:marBottom w:val="0"/>
      <w:divBdr>
        <w:top w:val="none" w:sz="0" w:space="0" w:color="auto"/>
        <w:left w:val="none" w:sz="0" w:space="0" w:color="auto"/>
        <w:bottom w:val="none" w:sz="0" w:space="0" w:color="auto"/>
        <w:right w:val="none" w:sz="0" w:space="0" w:color="auto"/>
      </w:divBdr>
    </w:div>
    <w:div w:id="885337181">
      <w:bodyDiv w:val="1"/>
      <w:marLeft w:val="0"/>
      <w:marRight w:val="0"/>
      <w:marTop w:val="0"/>
      <w:marBottom w:val="0"/>
      <w:divBdr>
        <w:top w:val="none" w:sz="0" w:space="0" w:color="auto"/>
        <w:left w:val="none" w:sz="0" w:space="0" w:color="auto"/>
        <w:bottom w:val="none" w:sz="0" w:space="0" w:color="auto"/>
        <w:right w:val="none" w:sz="0" w:space="0" w:color="auto"/>
      </w:divBdr>
    </w:div>
    <w:div w:id="983703286">
      <w:bodyDiv w:val="1"/>
      <w:marLeft w:val="0"/>
      <w:marRight w:val="0"/>
      <w:marTop w:val="0"/>
      <w:marBottom w:val="0"/>
      <w:divBdr>
        <w:top w:val="none" w:sz="0" w:space="0" w:color="auto"/>
        <w:left w:val="none" w:sz="0" w:space="0" w:color="auto"/>
        <w:bottom w:val="none" w:sz="0" w:space="0" w:color="auto"/>
        <w:right w:val="none" w:sz="0" w:space="0" w:color="auto"/>
      </w:divBdr>
      <w:divsChild>
        <w:div w:id="1233538218">
          <w:marLeft w:val="1699"/>
          <w:marRight w:val="0"/>
          <w:marTop w:val="60"/>
          <w:marBottom w:val="0"/>
          <w:divBdr>
            <w:top w:val="none" w:sz="0" w:space="0" w:color="auto"/>
            <w:left w:val="none" w:sz="0" w:space="0" w:color="auto"/>
            <w:bottom w:val="none" w:sz="0" w:space="0" w:color="auto"/>
            <w:right w:val="none" w:sz="0" w:space="0" w:color="auto"/>
          </w:divBdr>
        </w:div>
      </w:divsChild>
    </w:div>
    <w:div w:id="1018703663">
      <w:bodyDiv w:val="1"/>
      <w:marLeft w:val="0"/>
      <w:marRight w:val="0"/>
      <w:marTop w:val="0"/>
      <w:marBottom w:val="0"/>
      <w:divBdr>
        <w:top w:val="none" w:sz="0" w:space="0" w:color="auto"/>
        <w:left w:val="none" w:sz="0" w:space="0" w:color="auto"/>
        <w:bottom w:val="none" w:sz="0" w:space="0" w:color="auto"/>
        <w:right w:val="none" w:sz="0" w:space="0" w:color="auto"/>
      </w:divBdr>
      <w:divsChild>
        <w:div w:id="373505824">
          <w:marLeft w:val="1699"/>
          <w:marRight w:val="0"/>
          <w:marTop w:val="60"/>
          <w:marBottom w:val="0"/>
          <w:divBdr>
            <w:top w:val="none" w:sz="0" w:space="0" w:color="auto"/>
            <w:left w:val="none" w:sz="0" w:space="0" w:color="auto"/>
            <w:bottom w:val="none" w:sz="0" w:space="0" w:color="auto"/>
            <w:right w:val="none" w:sz="0" w:space="0" w:color="auto"/>
          </w:divBdr>
        </w:div>
        <w:div w:id="1247031144">
          <w:marLeft w:val="2261"/>
          <w:marRight w:val="0"/>
          <w:marTop w:val="60"/>
          <w:marBottom w:val="0"/>
          <w:divBdr>
            <w:top w:val="none" w:sz="0" w:space="0" w:color="auto"/>
            <w:left w:val="none" w:sz="0" w:space="0" w:color="auto"/>
            <w:bottom w:val="none" w:sz="0" w:space="0" w:color="auto"/>
            <w:right w:val="none" w:sz="0" w:space="0" w:color="auto"/>
          </w:divBdr>
        </w:div>
      </w:divsChild>
    </w:div>
    <w:div w:id="1021198308">
      <w:bodyDiv w:val="1"/>
      <w:marLeft w:val="0"/>
      <w:marRight w:val="0"/>
      <w:marTop w:val="0"/>
      <w:marBottom w:val="0"/>
      <w:divBdr>
        <w:top w:val="none" w:sz="0" w:space="0" w:color="auto"/>
        <w:left w:val="none" w:sz="0" w:space="0" w:color="auto"/>
        <w:bottom w:val="none" w:sz="0" w:space="0" w:color="auto"/>
        <w:right w:val="none" w:sz="0" w:space="0" w:color="auto"/>
      </w:divBdr>
    </w:div>
    <w:div w:id="1092823318">
      <w:bodyDiv w:val="1"/>
      <w:marLeft w:val="0"/>
      <w:marRight w:val="0"/>
      <w:marTop w:val="0"/>
      <w:marBottom w:val="0"/>
      <w:divBdr>
        <w:top w:val="none" w:sz="0" w:space="0" w:color="auto"/>
        <w:left w:val="none" w:sz="0" w:space="0" w:color="auto"/>
        <w:bottom w:val="none" w:sz="0" w:space="0" w:color="auto"/>
        <w:right w:val="none" w:sz="0" w:space="0" w:color="auto"/>
      </w:divBdr>
    </w:div>
    <w:div w:id="1246765810">
      <w:bodyDiv w:val="1"/>
      <w:marLeft w:val="0"/>
      <w:marRight w:val="0"/>
      <w:marTop w:val="0"/>
      <w:marBottom w:val="0"/>
      <w:divBdr>
        <w:top w:val="none" w:sz="0" w:space="0" w:color="auto"/>
        <w:left w:val="none" w:sz="0" w:space="0" w:color="auto"/>
        <w:bottom w:val="none" w:sz="0" w:space="0" w:color="auto"/>
        <w:right w:val="none" w:sz="0" w:space="0" w:color="auto"/>
      </w:divBdr>
      <w:divsChild>
        <w:div w:id="199128847">
          <w:marLeft w:val="547"/>
          <w:marRight w:val="0"/>
          <w:marTop w:val="60"/>
          <w:marBottom w:val="0"/>
          <w:divBdr>
            <w:top w:val="none" w:sz="0" w:space="0" w:color="auto"/>
            <w:left w:val="none" w:sz="0" w:space="0" w:color="auto"/>
            <w:bottom w:val="none" w:sz="0" w:space="0" w:color="auto"/>
            <w:right w:val="none" w:sz="0" w:space="0" w:color="auto"/>
          </w:divBdr>
        </w:div>
        <w:div w:id="362438656">
          <w:marLeft w:val="547"/>
          <w:marRight w:val="0"/>
          <w:marTop w:val="60"/>
          <w:marBottom w:val="0"/>
          <w:divBdr>
            <w:top w:val="none" w:sz="0" w:space="0" w:color="auto"/>
            <w:left w:val="none" w:sz="0" w:space="0" w:color="auto"/>
            <w:bottom w:val="none" w:sz="0" w:space="0" w:color="auto"/>
            <w:right w:val="none" w:sz="0" w:space="0" w:color="auto"/>
          </w:divBdr>
        </w:div>
        <w:div w:id="1775711199">
          <w:marLeft w:val="1123"/>
          <w:marRight w:val="0"/>
          <w:marTop w:val="60"/>
          <w:marBottom w:val="0"/>
          <w:divBdr>
            <w:top w:val="none" w:sz="0" w:space="0" w:color="auto"/>
            <w:left w:val="none" w:sz="0" w:space="0" w:color="auto"/>
            <w:bottom w:val="none" w:sz="0" w:space="0" w:color="auto"/>
            <w:right w:val="none" w:sz="0" w:space="0" w:color="auto"/>
          </w:divBdr>
        </w:div>
        <w:div w:id="145317940">
          <w:marLeft w:val="1699"/>
          <w:marRight w:val="0"/>
          <w:marTop w:val="60"/>
          <w:marBottom w:val="0"/>
          <w:divBdr>
            <w:top w:val="none" w:sz="0" w:space="0" w:color="auto"/>
            <w:left w:val="none" w:sz="0" w:space="0" w:color="auto"/>
            <w:bottom w:val="none" w:sz="0" w:space="0" w:color="auto"/>
            <w:right w:val="none" w:sz="0" w:space="0" w:color="auto"/>
          </w:divBdr>
        </w:div>
        <w:div w:id="785197151">
          <w:marLeft w:val="2261"/>
          <w:marRight w:val="0"/>
          <w:marTop w:val="60"/>
          <w:marBottom w:val="0"/>
          <w:divBdr>
            <w:top w:val="none" w:sz="0" w:space="0" w:color="auto"/>
            <w:left w:val="none" w:sz="0" w:space="0" w:color="auto"/>
            <w:bottom w:val="none" w:sz="0" w:space="0" w:color="auto"/>
            <w:right w:val="none" w:sz="0" w:space="0" w:color="auto"/>
          </w:divBdr>
        </w:div>
        <w:div w:id="855382338">
          <w:marLeft w:val="2794"/>
          <w:marRight w:val="0"/>
          <w:marTop w:val="60"/>
          <w:marBottom w:val="0"/>
          <w:divBdr>
            <w:top w:val="none" w:sz="0" w:space="0" w:color="auto"/>
            <w:left w:val="none" w:sz="0" w:space="0" w:color="auto"/>
            <w:bottom w:val="none" w:sz="0" w:space="0" w:color="auto"/>
            <w:right w:val="none" w:sz="0" w:space="0" w:color="auto"/>
          </w:divBdr>
        </w:div>
        <w:div w:id="1243833863">
          <w:marLeft w:val="1123"/>
          <w:marRight w:val="0"/>
          <w:marTop w:val="60"/>
          <w:marBottom w:val="0"/>
          <w:divBdr>
            <w:top w:val="none" w:sz="0" w:space="0" w:color="auto"/>
            <w:left w:val="none" w:sz="0" w:space="0" w:color="auto"/>
            <w:bottom w:val="none" w:sz="0" w:space="0" w:color="auto"/>
            <w:right w:val="none" w:sz="0" w:space="0" w:color="auto"/>
          </w:divBdr>
        </w:div>
        <w:div w:id="2009669967">
          <w:marLeft w:val="1699"/>
          <w:marRight w:val="0"/>
          <w:marTop w:val="60"/>
          <w:marBottom w:val="0"/>
          <w:divBdr>
            <w:top w:val="none" w:sz="0" w:space="0" w:color="auto"/>
            <w:left w:val="none" w:sz="0" w:space="0" w:color="auto"/>
            <w:bottom w:val="none" w:sz="0" w:space="0" w:color="auto"/>
            <w:right w:val="none" w:sz="0" w:space="0" w:color="auto"/>
          </w:divBdr>
        </w:div>
        <w:div w:id="574625794">
          <w:marLeft w:val="2261"/>
          <w:marRight w:val="0"/>
          <w:marTop w:val="60"/>
          <w:marBottom w:val="0"/>
          <w:divBdr>
            <w:top w:val="none" w:sz="0" w:space="0" w:color="auto"/>
            <w:left w:val="none" w:sz="0" w:space="0" w:color="auto"/>
            <w:bottom w:val="none" w:sz="0" w:space="0" w:color="auto"/>
            <w:right w:val="none" w:sz="0" w:space="0" w:color="auto"/>
          </w:divBdr>
        </w:div>
        <w:div w:id="1406223927">
          <w:marLeft w:val="2261"/>
          <w:marRight w:val="0"/>
          <w:marTop w:val="60"/>
          <w:marBottom w:val="0"/>
          <w:divBdr>
            <w:top w:val="none" w:sz="0" w:space="0" w:color="auto"/>
            <w:left w:val="none" w:sz="0" w:space="0" w:color="auto"/>
            <w:bottom w:val="none" w:sz="0" w:space="0" w:color="auto"/>
            <w:right w:val="none" w:sz="0" w:space="0" w:color="auto"/>
          </w:divBdr>
        </w:div>
      </w:divsChild>
    </w:div>
    <w:div w:id="1350327456">
      <w:bodyDiv w:val="1"/>
      <w:marLeft w:val="0"/>
      <w:marRight w:val="0"/>
      <w:marTop w:val="0"/>
      <w:marBottom w:val="0"/>
      <w:divBdr>
        <w:top w:val="none" w:sz="0" w:space="0" w:color="auto"/>
        <w:left w:val="none" w:sz="0" w:space="0" w:color="auto"/>
        <w:bottom w:val="none" w:sz="0" w:space="0" w:color="auto"/>
        <w:right w:val="none" w:sz="0" w:space="0" w:color="auto"/>
      </w:divBdr>
    </w:div>
    <w:div w:id="1353844551">
      <w:bodyDiv w:val="1"/>
      <w:marLeft w:val="0"/>
      <w:marRight w:val="0"/>
      <w:marTop w:val="0"/>
      <w:marBottom w:val="0"/>
      <w:divBdr>
        <w:top w:val="none" w:sz="0" w:space="0" w:color="auto"/>
        <w:left w:val="none" w:sz="0" w:space="0" w:color="auto"/>
        <w:bottom w:val="none" w:sz="0" w:space="0" w:color="auto"/>
        <w:right w:val="none" w:sz="0" w:space="0" w:color="auto"/>
      </w:divBdr>
      <w:divsChild>
        <w:div w:id="138425583">
          <w:marLeft w:val="547"/>
          <w:marRight w:val="0"/>
          <w:marTop w:val="0"/>
          <w:marBottom w:val="0"/>
          <w:divBdr>
            <w:top w:val="none" w:sz="0" w:space="0" w:color="auto"/>
            <w:left w:val="none" w:sz="0" w:space="0" w:color="auto"/>
            <w:bottom w:val="none" w:sz="0" w:space="0" w:color="auto"/>
            <w:right w:val="none" w:sz="0" w:space="0" w:color="auto"/>
          </w:divBdr>
        </w:div>
      </w:divsChild>
    </w:div>
    <w:div w:id="1374890803">
      <w:bodyDiv w:val="1"/>
      <w:marLeft w:val="0"/>
      <w:marRight w:val="0"/>
      <w:marTop w:val="0"/>
      <w:marBottom w:val="0"/>
      <w:divBdr>
        <w:top w:val="none" w:sz="0" w:space="0" w:color="auto"/>
        <w:left w:val="none" w:sz="0" w:space="0" w:color="auto"/>
        <w:bottom w:val="none" w:sz="0" w:space="0" w:color="auto"/>
        <w:right w:val="none" w:sz="0" w:space="0" w:color="auto"/>
      </w:divBdr>
    </w:div>
    <w:div w:id="1392581510">
      <w:bodyDiv w:val="1"/>
      <w:marLeft w:val="0"/>
      <w:marRight w:val="0"/>
      <w:marTop w:val="0"/>
      <w:marBottom w:val="0"/>
      <w:divBdr>
        <w:top w:val="none" w:sz="0" w:space="0" w:color="auto"/>
        <w:left w:val="none" w:sz="0" w:space="0" w:color="auto"/>
        <w:bottom w:val="none" w:sz="0" w:space="0" w:color="auto"/>
        <w:right w:val="none" w:sz="0" w:space="0" w:color="auto"/>
      </w:divBdr>
    </w:div>
    <w:div w:id="1402558070">
      <w:bodyDiv w:val="1"/>
      <w:marLeft w:val="0"/>
      <w:marRight w:val="0"/>
      <w:marTop w:val="0"/>
      <w:marBottom w:val="0"/>
      <w:divBdr>
        <w:top w:val="none" w:sz="0" w:space="0" w:color="auto"/>
        <w:left w:val="none" w:sz="0" w:space="0" w:color="auto"/>
        <w:bottom w:val="none" w:sz="0" w:space="0" w:color="auto"/>
        <w:right w:val="none" w:sz="0" w:space="0" w:color="auto"/>
      </w:divBdr>
    </w:div>
    <w:div w:id="1407649588">
      <w:bodyDiv w:val="1"/>
      <w:marLeft w:val="0"/>
      <w:marRight w:val="0"/>
      <w:marTop w:val="0"/>
      <w:marBottom w:val="0"/>
      <w:divBdr>
        <w:top w:val="none" w:sz="0" w:space="0" w:color="auto"/>
        <w:left w:val="none" w:sz="0" w:space="0" w:color="auto"/>
        <w:bottom w:val="none" w:sz="0" w:space="0" w:color="auto"/>
        <w:right w:val="none" w:sz="0" w:space="0" w:color="auto"/>
      </w:divBdr>
    </w:div>
    <w:div w:id="1511486256">
      <w:bodyDiv w:val="1"/>
      <w:marLeft w:val="0"/>
      <w:marRight w:val="0"/>
      <w:marTop w:val="0"/>
      <w:marBottom w:val="0"/>
      <w:divBdr>
        <w:top w:val="none" w:sz="0" w:space="0" w:color="auto"/>
        <w:left w:val="none" w:sz="0" w:space="0" w:color="auto"/>
        <w:bottom w:val="none" w:sz="0" w:space="0" w:color="auto"/>
        <w:right w:val="none" w:sz="0" w:space="0" w:color="auto"/>
      </w:divBdr>
    </w:div>
    <w:div w:id="1603609844">
      <w:bodyDiv w:val="1"/>
      <w:marLeft w:val="0"/>
      <w:marRight w:val="0"/>
      <w:marTop w:val="0"/>
      <w:marBottom w:val="0"/>
      <w:divBdr>
        <w:top w:val="none" w:sz="0" w:space="0" w:color="auto"/>
        <w:left w:val="none" w:sz="0" w:space="0" w:color="auto"/>
        <w:bottom w:val="none" w:sz="0" w:space="0" w:color="auto"/>
        <w:right w:val="none" w:sz="0" w:space="0" w:color="auto"/>
      </w:divBdr>
    </w:div>
    <w:div w:id="1741322650">
      <w:bodyDiv w:val="1"/>
      <w:marLeft w:val="0"/>
      <w:marRight w:val="0"/>
      <w:marTop w:val="0"/>
      <w:marBottom w:val="0"/>
      <w:divBdr>
        <w:top w:val="none" w:sz="0" w:space="0" w:color="auto"/>
        <w:left w:val="none" w:sz="0" w:space="0" w:color="auto"/>
        <w:bottom w:val="none" w:sz="0" w:space="0" w:color="auto"/>
        <w:right w:val="none" w:sz="0" w:space="0" w:color="auto"/>
      </w:divBdr>
      <w:divsChild>
        <w:div w:id="610821647">
          <w:marLeft w:val="547"/>
          <w:marRight w:val="0"/>
          <w:marTop w:val="60"/>
          <w:marBottom w:val="0"/>
          <w:divBdr>
            <w:top w:val="none" w:sz="0" w:space="0" w:color="auto"/>
            <w:left w:val="none" w:sz="0" w:space="0" w:color="auto"/>
            <w:bottom w:val="none" w:sz="0" w:space="0" w:color="auto"/>
            <w:right w:val="none" w:sz="0" w:space="0" w:color="auto"/>
          </w:divBdr>
        </w:div>
      </w:divsChild>
    </w:div>
    <w:div w:id="1893925342">
      <w:bodyDiv w:val="1"/>
      <w:marLeft w:val="0"/>
      <w:marRight w:val="0"/>
      <w:marTop w:val="0"/>
      <w:marBottom w:val="0"/>
      <w:divBdr>
        <w:top w:val="none" w:sz="0" w:space="0" w:color="auto"/>
        <w:left w:val="none" w:sz="0" w:space="0" w:color="auto"/>
        <w:bottom w:val="none" w:sz="0" w:space="0" w:color="auto"/>
        <w:right w:val="none" w:sz="0" w:space="0" w:color="auto"/>
      </w:divBdr>
    </w:div>
    <w:div w:id="198130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F4189-82BB-442C-B9E6-5C8026E780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5795507-271D-4237-802E-02C4B8BBB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73647-57C4-406B-BB7F-1C0153C71B24}">
  <ds:schemaRefs>
    <ds:schemaRef ds:uri="http://schemas.microsoft.com/sharepoint/v3/contenttype/forms"/>
  </ds:schemaRefs>
</ds:datastoreItem>
</file>

<file path=customXml/itemProps4.xml><?xml version="1.0" encoding="utf-8"?>
<ds:datastoreItem xmlns:ds="http://schemas.openxmlformats.org/officeDocument/2006/customXml" ds:itemID="{78611659-7E31-4C32-A843-AC5FEC03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2016</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2020-11-30T19:37:00Z</dcterms:created>
  <dcterms:modified xsi:type="dcterms:W3CDTF">2020-11-30T19:50:00Z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